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36" w:lineRule="exact"/>
        <w:rPr>
          <w:rFonts w:ascii="黑体" w:hAnsi="黑体" w:eastAsia="黑体" w:cs="黑体"/>
          <w:b/>
          <w:sz w:val="32"/>
          <w:szCs w:val="32"/>
        </w:rPr>
      </w:pPr>
      <w:bookmarkStart w:id="0" w:name="_GoBack"/>
      <w:bookmarkEnd w:id="0"/>
      <w:r>
        <w:rPr>
          <w:rFonts w:hint="eastAsia" w:ascii="黑体" w:hAnsi="黑体" w:eastAsia="黑体" w:cs="黑体"/>
          <w:sz w:val="32"/>
          <w:szCs w:val="32"/>
        </w:rPr>
        <w:t>附件2：</w:t>
      </w:r>
    </w:p>
    <w:p>
      <w:pPr>
        <w:spacing w:line="536" w:lineRule="exact"/>
      </w:pPr>
    </w:p>
    <w:p>
      <w:pPr>
        <w:spacing w:line="536" w:lineRule="exact"/>
        <w:jc w:val="center"/>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lang w:val="en-US" w:eastAsia="zh-CN"/>
        </w:rPr>
        <w:t>国家重大水利工程建设基金(三峡后续工作)</w:t>
      </w:r>
    </w:p>
    <w:p>
      <w:pPr>
        <w:spacing w:line="536"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lang w:val="en-US" w:eastAsia="zh-CN"/>
        </w:rPr>
        <w:t>2023年中央</w:t>
      </w:r>
      <w:r>
        <w:rPr>
          <w:rFonts w:hint="eastAsia" w:ascii="方正小标宋简体" w:hAnsi="方正小标宋简体" w:eastAsia="方正小标宋简体" w:cs="方正小标宋简体"/>
          <w:bCs/>
          <w:sz w:val="44"/>
          <w:szCs w:val="44"/>
        </w:rPr>
        <w:t>转移支付</w:t>
      </w:r>
      <w:r>
        <w:rPr>
          <w:rFonts w:hint="eastAsia" w:ascii="方正小标宋简体" w:hAnsi="方正小标宋简体" w:eastAsia="方正小标宋简体" w:cs="方正小标宋简体"/>
          <w:bCs/>
          <w:sz w:val="44"/>
          <w:szCs w:val="44"/>
          <w:lang w:val="en-US" w:eastAsia="zh-CN"/>
        </w:rPr>
        <w:t>资金</w:t>
      </w:r>
      <w:r>
        <w:rPr>
          <w:rFonts w:hint="eastAsia" w:ascii="方正小标宋简体" w:hAnsi="方正小标宋简体" w:eastAsia="方正小标宋简体" w:cs="方正小标宋简体"/>
          <w:bCs/>
          <w:sz w:val="44"/>
          <w:szCs w:val="44"/>
        </w:rPr>
        <w:t>绩效自评报告</w:t>
      </w:r>
    </w:p>
    <w:p>
      <w:pPr>
        <w:keepNext w:val="0"/>
        <w:keepLines w:val="0"/>
        <w:pageBreakBefore w:val="0"/>
        <w:kinsoku/>
        <w:overflowPunct/>
        <w:topLinePunct w:val="0"/>
        <w:autoSpaceDE/>
        <w:autoSpaceDN/>
        <w:bidi w:val="0"/>
        <w:spacing w:line="560" w:lineRule="exact"/>
        <w:ind w:firstLine="640" w:firstLineChars="200"/>
        <w:textAlignment w:val="auto"/>
        <w:rPr>
          <w:rFonts w:hint="eastAsia" w:ascii="黑体" w:hAnsi="黑体" w:eastAsia="黑体" w:cs="黑体"/>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根据《关于开展2023中央和省级转移支付预算执行情况绩效工作自评的预通知》要求，我局对2023年度中央转移支付资金进行了绩效自评，现将自评情况报告如下: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bCs/>
          <w:sz w:val="32"/>
          <w:szCs w:val="32"/>
        </w:rPr>
      </w:pPr>
      <w:r>
        <w:rPr>
          <w:rFonts w:hint="eastAsia" w:ascii="黑体" w:hAnsi="黑体" w:eastAsia="黑体" w:cs="黑体"/>
          <w:bCs/>
          <w:sz w:val="32"/>
          <w:szCs w:val="32"/>
        </w:rPr>
        <w:t>一、绩效目标分解下达情况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我局国家重大水利工程建设基金(三峡后续工作)2023年中央转移支付资金全年预算数为1000万元，全年实际到位1000万元，项目资金主要用于</w:t>
      </w:r>
      <w:r>
        <w:rPr>
          <w:rFonts w:hint="default" w:ascii="仿宋_GB2312" w:eastAsia="仿宋_GB2312"/>
          <w:sz w:val="32"/>
          <w:szCs w:val="32"/>
          <w:lang w:val="en-US" w:eastAsia="zh-CN"/>
        </w:rPr>
        <w:t>通过通过实施三峡后续工程运行对长江中下游重点影响区影响处理项目，缓解所在区域居民生活用水矛盾，改善居民用水质量。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bCs/>
          <w:sz w:val="32"/>
          <w:szCs w:val="32"/>
        </w:rPr>
      </w:pPr>
      <w:r>
        <w:rPr>
          <w:rFonts w:hint="eastAsia" w:ascii="黑体" w:hAnsi="黑体" w:eastAsia="黑体" w:cs="黑体"/>
          <w:bCs/>
          <w:sz w:val="32"/>
          <w:szCs w:val="32"/>
        </w:rPr>
        <w:t>二、绩效目标完成情况分析</w:t>
      </w:r>
    </w:p>
    <w:p>
      <w:pPr>
        <w:keepNext w:val="0"/>
        <w:keepLines w:val="0"/>
        <w:pageBreakBefore w:val="0"/>
        <w:widowControl w:val="0"/>
        <w:kinsoku/>
        <w:wordWrap/>
        <w:overflowPunct/>
        <w:topLinePunct w:val="0"/>
        <w:autoSpaceDE/>
        <w:autoSpaceDN/>
        <w:bidi w:val="0"/>
        <w:adjustRightInd/>
        <w:snapToGrid/>
        <w:spacing w:line="560" w:lineRule="exact"/>
        <w:ind w:firstLine="462" w:firstLineChars="150"/>
        <w:textAlignment w:val="auto"/>
        <w:rPr>
          <w:rFonts w:hint="eastAsia" w:ascii="楷体_GB2312" w:hAnsi="楷体_GB2312" w:eastAsia="楷体_GB2312" w:cs="楷体_GB2312"/>
          <w:b w:val="0"/>
          <w:bCs/>
          <w:spacing w:val="-6"/>
          <w:sz w:val="32"/>
          <w:szCs w:val="32"/>
        </w:rPr>
      </w:pPr>
      <w:r>
        <w:rPr>
          <w:rFonts w:hint="eastAsia" w:ascii="楷体_GB2312" w:hAnsi="楷体_GB2312" w:eastAsia="楷体_GB2312" w:cs="楷体_GB2312"/>
          <w:b w:val="0"/>
          <w:bCs/>
          <w:spacing w:val="-6"/>
          <w:sz w:val="32"/>
          <w:szCs w:val="32"/>
        </w:rPr>
        <w:t>（一）资金投入情况分析</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1.项目资金到位情况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2023年，经我局申请，南昌市财政局按程序下达中央转移支付资金（</w:t>
      </w:r>
      <w:r>
        <w:rPr>
          <w:rFonts w:hint="eastAsia" w:ascii="仿宋_GB2312" w:eastAsia="仿宋_GB2312"/>
          <w:sz w:val="32"/>
          <w:szCs w:val="32"/>
          <w:lang w:eastAsia="zh-CN"/>
        </w:rPr>
        <w:t>国家重大水利工程建设基金(三峡后续工作)），</w:t>
      </w:r>
      <w:r>
        <w:rPr>
          <w:rFonts w:hint="eastAsia" w:ascii="仿宋_GB2312" w:eastAsia="仿宋_GB2312"/>
          <w:sz w:val="32"/>
          <w:szCs w:val="32"/>
          <w:lang w:val="en-US" w:eastAsia="zh-CN"/>
        </w:rPr>
        <w:t>资金到位率为100%。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2.项目资金执行情况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我局</w:t>
      </w:r>
      <w:r>
        <w:rPr>
          <w:rFonts w:hint="default" w:ascii="仿宋_GB2312" w:eastAsia="仿宋_GB2312"/>
          <w:sz w:val="32"/>
          <w:szCs w:val="32"/>
          <w:lang w:val="en-US" w:eastAsia="zh-CN"/>
        </w:rPr>
        <w:t>严格按照项目实施方案组织实施，足额配套落实自筹资金，</w:t>
      </w:r>
      <w:r>
        <w:rPr>
          <w:rFonts w:hint="eastAsia" w:ascii="仿宋_GB2312" w:eastAsia="仿宋_GB2312"/>
          <w:sz w:val="32"/>
          <w:szCs w:val="32"/>
          <w:lang w:eastAsia="zh-CN"/>
        </w:rPr>
        <w:t>国家重大水利工程建设基金(三峡后续工作)</w:t>
      </w:r>
      <w:r>
        <w:rPr>
          <w:rFonts w:hint="eastAsia" w:ascii="仿宋_GB2312" w:eastAsia="仿宋_GB2312"/>
          <w:sz w:val="32"/>
          <w:szCs w:val="32"/>
          <w:lang w:val="en-US" w:eastAsia="zh-CN"/>
        </w:rPr>
        <w:t>1000</w:t>
      </w:r>
      <w:r>
        <w:rPr>
          <w:rFonts w:hint="default" w:ascii="仿宋_GB2312" w:eastAsia="仿宋_GB2312"/>
          <w:sz w:val="32"/>
          <w:szCs w:val="32"/>
          <w:lang w:val="en-US" w:eastAsia="zh-CN"/>
        </w:rPr>
        <w:t>万元</w:t>
      </w:r>
      <w:r>
        <w:rPr>
          <w:rFonts w:hint="eastAsia" w:ascii="仿宋_GB2312" w:eastAsia="仿宋_GB2312"/>
          <w:sz w:val="32"/>
          <w:szCs w:val="32"/>
          <w:lang w:val="en-US" w:eastAsia="zh-CN"/>
        </w:rPr>
        <w:t>在2023年</w:t>
      </w:r>
      <w:r>
        <w:rPr>
          <w:rFonts w:hint="default" w:ascii="仿宋_GB2312" w:eastAsia="仿宋_GB2312"/>
          <w:sz w:val="32"/>
          <w:szCs w:val="32"/>
          <w:lang w:val="en-US" w:eastAsia="zh-CN"/>
        </w:rPr>
        <w:t>已完成支付，项目资金执行率</w:t>
      </w:r>
      <w:r>
        <w:rPr>
          <w:rFonts w:hint="eastAsia" w:ascii="仿宋_GB2312" w:eastAsia="仿宋_GB2312"/>
          <w:sz w:val="32"/>
          <w:szCs w:val="32"/>
          <w:lang w:val="en-US" w:eastAsia="zh-CN"/>
        </w:rPr>
        <w:t>为100%</w:t>
      </w:r>
      <w:r>
        <w:rPr>
          <w:rFonts w:hint="default" w:ascii="仿宋_GB2312" w:eastAsia="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62" w:firstLineChars="150"/>
        <w:textAlignment w:val="auto"/>
        <w:rPr>
          <w:rFonts w:hint="eastAsia" w:ascii="楷体_GB2312" w:hAnsi="楷体_GB2312" w:eastAsia="楷体_GB2312" w:cs="楷体_GB2312"/>
          <w:b w:val="0"/>
          <w:bCs/>
          <w:spacing w:val="-6"/>
          <w:sz w:val="32"/>
          <w:szCs w:val="32"/>
        </w:rPr>
      </w:pPr>
      <w:r>
        <w:rPr>
          <w:rFonts w:hint="eastAsia" w:ascii="楷体_GB2312" w:hAnsi="楷体_GB2312" w:eastAsia="楷体_GB2312" w:cs="楷体_GB2312"/>
          <w:b w:val="0"/>
          <w:bCs/>
          <w:spacing w:val="-6"/>
          <w:sz w:val="32"/>
          <w:szCs w:val="32"/>
        </w:rPr>
        <w:t>（二）资金管理情况分析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我局认真严格按照资金使用管理办法要求，规范和加强专项资金管理，加强绩效目标绩效监控管理，提高财政资金使用绩效，实行专人管理、专账核算、专款专用，对建设项目严格按照计划和建设进度申请拨付和使用资金，严格按照财务管理制度相关规定，坚持履行规范的程序和手续，分期拨付、单据审核、办理报账，确保项目资金使用安全有效、确保了补助资金、财政配套资金和自筹资金运行安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sz w:val="32"/>
          <w:szCs w:val="32"/>
          <w:lang w:val="en-US" w:eastAsia="zh-CN"/>
        </w:rPr>
        <w:t xml:space="preserve">   </w:t>
      </w:r>
      <w:r>
        <w:rPr>
          <w:rFonts w:hint="eastAsia" w:ascii="楷体_GB2312" w:hAnsi="楷体_GB2312" w:eastAsia="楷体_GB2312" w:cs="楷体_GB2312"/>
          <w:b w:val="0"/>
          <w:bCs/>
          <w:sz w:val="32"/>
          <w:szCs w:val="32"/>
          <w:lang w:val="en-US" w:eastAsia="zh-CN"/>
        </w:rPr>
        <w:t>（三）</w:t>
      </w:r>
      <w:r>
        <w:rPr>
          <w:rFonts w:hint="eastAsia" w:ascii="楷体_GB2312" w:hAnsi="楷体_GB2312" w:eastAsia="楷体_GB2312" w:cs="楷体_GB2312"/>
          <w:b w:val="0"/>
          <w:bCs/>
          <w:sz w:val="32"/>
          <w:szCs w:val="32"/>
        </w:rPr>
        <w:t>总体绩效目标完成情况分析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总体来看，我局2023年的</w:t>
      </w:r>
      <w:r>
        <w:rPr>
          <w:rFonts w:hint="eastAsia" w:ascii="仿宋_GB2312" w:eastAsia="仿宋_GB2312"/>
          <w:sz w:val="32"/>
          <w:szCs w:val="32"/>
          <w:lang w:eastAsia="zh-CN"/>
        </w:rPr>
        <w:t>进贤县三峡后续</w:t>
      </w:r>
      <w:r>
        <w:rPr>
          <w:rFonts w:hint="eastAsia" w:ascii="仿宋_GB2312" w:eastAsia="仿宋_GB2312"/>
          <w:sz w:val="32"/>
          <w:szCs w:val="32"/>
          <w:lang w:val="en-US" w:eastAsia="zh-CN"/>
        </w:rPr>
        <w:t>工</w:t>
      </w:r>
      <w:r>
        <w:rPr>
          <w:rFonts w:hint="eastAsia" w:ascii="仿宋_GB2312" w:eastAsia="仿宋_GB2312"/>
          <w:sz w:val="32"/>
          <w:szCs w:val="32"/>
          <w:lang w:eastAsia="zh-CN"/>
        </w:rPr>
        <w:t>作</w:t>
      </w:r>
      <w:r>
        <w:rPr>
          <w:rFonts w:hint="eastAsia" w:ascii="仿宋_GB2312" w:eastAsia="仿宋_GB2312"/>
          <w:sz w:val="32"/>
          <w:szCs w:val="32"/>
          <w:lang w:val="en-US" w:eastAsia="zh-CN"/>
        </w:rPr>
        <w:t>完成较好，各项绩效目标全部完成并达标。通过</w:t>
      </w:r>
      <w:r>
        <w:rPr>
          <w:rFonts w:hint="default" w:ascii="仿宋_GB2312" w:eastAsia="仿宋_GB2312"/>
          <w:sz w:val="32"/>
          <w:szCs w:val="32"/>
          <w:lang w:val="en-US" w:eastAsia="zh-CN"/>
        </w:rPr>
        <w:t>建设配水管网，供水规模1.4万</w:t>
      </w:r>
      <w:r>
        <w:rPr>
          <w:rFonts w:hint="eastAsia" w:ascii="仿宋_GB2312" w:eastAsia="仿宋_GB2312"/>
          <w:sz w:val="32"/>
          <w:szCs w:val="32"/>
          <w:lang w:val="en-US" w:eastAsia="zh-CN"/>
        </w:rPr>
        <w:t>m³</w:t>
      </w:r>
      <w:r>
        <w:rPr>
          <w:rFonts w:hint="default" w:ascii="仿宋_GB2312" w:eastAsia="仿宋_GB2312"/>
          <w:sz w:val="32"/>
          <w:szCs w:val="32"/>
          <w:lang w:val="en-US" w:eastAsia="zh-CN"/>
        </w:rPr>
        <w:t>/d，解决47672人供水问题</w:t>
      </w:r>
      <w:r>
        <w:rPr>
          <w:rFonts w:hint="eastAsia" w:ascii="仿宋_GB2312" w:eastAsia="仿宋_GB2312"/>
          <w:sz w:val="32"/>
          <w:szCs w:val="32"/>
          <w:lang w:val="en-US" w:eastAsia="zh-CN"/>
        </w:rPr>
        <w:t>，保障了库区和移民安置区的和谐稳定及群众生活用水平稳。</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仿宋_GB2312" w:eastAsia="仿宋_GB2312"/>
          <w:b w:val="0"/>
          <w:bCs/>
          <w:sz w:val="32"/>
          <w:szCs w:val="32"/>
        </w:rPr>
      </w:pPr>
      <w:r>
        <w:rPr>
          <w:rFonts w:hint="eastAsia" w:ascii="楷体_GB2312" w:hAnsi="楷体_GB2312" w:eastAsia="楷体_GB2312" w:cs="楷体_GB2312"/>
          <w:b w:val="0"/>
          <w:bCs/>
          <w:sz w:val="32"/>
          <w:szCs w:val="32"/>
        </w:rPr>
        <w:t>（四）绩效指标完成情况分析</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1.产出指标完成情况分析</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sz w:val="32"/>
          <w:szCs w:val="32"/>
          <w:lang w:val="en-US" w:eastAsia="zh-CN"/>
        </w:rPr>
      </w:pPr>
      <w:r>
        <w:rPr>
          <w:rFonts w:hint="eastAsia" w:ascii="仿宋_GB2312" w:eastAsia="仿宋_GB2312"/>
          <w:b/>
          <w:bCs/>
          <w:sz w:val="32"/>
          <w:szCs w:val="32"/>
          <w:lang w:val="en-US" w:eastAsia="zh-CN"/>
        </w:rPr>
        <w:t>一是</w:t>
      </w:r>
      <w:r>
        <w:rPr>
          <w:rFonts w:hint="eastAsia" w:ascii="仿宋_GB2312" w:eastAsia="仿宋_GB2312"/>
          <w:sz w:val="32"/>
          <w:szCs w:val="32"/>
          <w:lang w:val="en-US" w:eastAsia="zh-CN"/>
        </w:rPr>
        <w:t>完成长江小下游相关影响处理实施项目1个，年度绩效目标完成率为100%；</w:t>
      </w:r>
      <w:r>
        <w:rPr>
          <w:rFonts w:hint="eastAsia" w:ascii="仿宋_GB2312" w:eastAsia="仿宋_GB2312"/>
          <w:b/>
          <w:bCs/>
          <w:sz w:val="32"/>
          <w:szCs w:val="32"/>
          <w:lang w:val="en-US" w:eastAsia="zh-CN"/>
        </w:rPr>
        <w:t>二是</w:t>
      </w:r>
      <w:r>
        <w:rPr>
          <w:rFonts w:hint="eastAsia" w:ascii="仿宋_GB2312" w:eastAsia="仿宋_GB2312"/>
          <w:sz w:val="32"/>
          <w:szCs w:val="32"/>
          <w:lang w:val="en-US" w:eastAsia="zh-CN"/>
        </w:rPr>
        <w:t>完成长江小下游相关影响处理水厂和涵闸泵站功能修复1处，年度绩效目标完成率为100%。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经评价，2023年度国家重大水利工程建设基金(三峡后续工作)的产出数量、产出质量、产出时效等产出指标全部达标。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2.效益指标完成情况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2023年，全市水利部门坚决贯彻落实习近平总书记治水重要论述精神，深入践行习近平总书记“节水优先、空间均衡、系统治理、两手发力”治水思路，认真学习贯彻党的二十大精神，扎实落实强省会战略和水利高质量发展战略部署，持续推进并加快大中型水库移民后期扶持项目建设，为保障群众的生活用水平稳库区和移民安置区的和谐稳定做出了显著贡献。</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偏离绩效目标的原因和下一步改进措施</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hAnsiTheme="minorHAnsi" w:cstheme="minorBidi"/>
          <w:b/>
          <w:bCs/>
          <w:kern w:val="2"/>
          <w:sz w:val="32"/>
          <w:szCs w:val="32"/>
          <w:lang w:val="en-US" w:eastAsia="zh-CN" w:bidi="ar-SA"/>
        </w:rPr>
      </w:pPr>
      <w:r>
        <w:rPr>
          <w:rFonts w:hint="eastAsia" w:ascii="仿宋_GB2312" w:eastAsia="仿宋_GB2312" w:hAnsiTheme="minorHAnsi" w:cstheme="minorBidi"/>
          <w:b/>
          <w:bCs/>
          <w:kern w:val="2"/>
          <w:sz w:val="32"/>
          <w:szCs w:val="32"/>
          <w:lang w:val="en-US" w:eastAsia="zh-CN" w:bidi="ar-SA"/>
        </w:rPr>
        <w:t>无</w:t>
      </w:r>
    </w:p>
    <w:p>
      <w:pPr>
        <w:keepNext w:val="0"/>
        <w:keepLines w:val="0"/>
        <w:pageBreakBefore w:val="0"/>
        <w:widowControl/>
        <w:numPr>
          <w:ilvl w:val="0"/>
          <w:numId w:val="2"/>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黑体" w:hAnsi="黑体" w:eastAsia="黑体" w:cs="黑体"/>
          <w:bCs/>
          <w:sz w:val="32"/>
          <w:szCs w:val="32"/>
        </w:rPr>
      </w:pPr>
      <w:r>
        <w:rPr>
          <w:rFonts w:hint="eastAsia" w:ascii="黑体" w:hAnsi="黑体" w:eastAsia="黑体" w:cs="黑体"/>
          <w:bCs/>
          <w:sz w:val="32"/>
          <w:szCs w:val="32"/>
        </w:rPr>
        <w:t>绩效自评结果拟应用和公开情况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我局将切实加强绩效评价结果的分析和应用，将评价结果作为进一步完善和改进预算绩效管理的重要依据，并将本次绩效评价结果作为下一年度预算申报的重要参考依据。同时进一步加强预算资金管理，保障资金使用安全，提高资金使用效率，完善内部监督和控制制度，保证资金的合法性、安全性以及会计资料的真实性和完整性，确保部门履职履责效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我局将在市财政局审核通过后公开2023年度中央转移支付资金绩效自评报告结果，主动接受社会监督。</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bCs/>
          <w:sz w:val="32"/>
          <w:szCs w:val="32"/>
        </w:rPr>
      </w:pPr>
      <w:r>
        <w:rPr>
          <w:rFonts w:hint="eastAsia" w:ascii="黑体" w:hAnsi="黑体" w:eastAsia="黑体" w:cs="黑体"/>
          <w:bCs/>
          <w:sz w:val="32"/>
          <w:szCs w:val="32"/>
        </w:rPr>
        <w:t>五、其他需要说明的问题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无。</w:t>
      </w:r>
    </w:p>
    <w:p>
      <w:pPr>
        <w:pStyle w:val="5"/>
        <w:keepNext w:val="0"/>
        <w:keepLines w:val="0"/>
        <w:pageBreakBefore w:val="0"/>
        <w:kinsoku/>
        <w:overflowPunct/>
        <w:topLinePunct w:val="0"/>
        <w:autoSpaceDE/>
        <w:autoSpaceDN/>
        <w:bidi w:val="0"/>
        <w:adjustRightInd/>
        <w:snapToGrid/>
        <w:spacing w:line="560" w:lineRule="exact"/>
        <w:textAlignment w:val="auto"/>
        <w:rPr>
          <w:rFonts w:hint="eastAsia" w:ascii="仿宋" w:hAnsi="仿宋" w:eastAsia="仿宋" w:cs="仿宋"/>
          <w:bCs/>
          <w:color w:val="FF0000"/>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4800" w:firstLineChars="1500"/>
        <w:jc w:val="both"/>
        <w:textAlignment w:val="auto"/>
        <w:rPr>
          <w:rFonts w:hint="eastAsia" w:ascii="仿宋" w:hAnsi="仿宋" w:eastAsia="仿宋" w:cs="仿宋"/>
          <w:bCs/>
          <w:color w:val="000000"/>
          <w:sz w:val="32"/>
          <w:szCs w:val="32"/>
          <w:lang w:val="en-US" w:eastAsia="zh-CN"/>
        </w:rPr>
      </w:pPr>
      <w:r>
        <w:rPr>
          <w:rFonts w:hint="eastAsia" w:ascii="仿宋" w:hAnsi="仿宋" w:eastAsia="仿宋" w:cs="仿宋"/>
          <w:bCs/>
          <w:color w:val="auto"/>
          <w:sz w:val="32"/>
          <w:szCs w:val="32"/>
          <w:highlight w:val="none"/>
          <w:lang w:val="en-US" w:eastAsia="zh-CN"/>
        </w:rPr>
        <w:t>南昌市水利局</w:t>
      </w:r>
      <w:r>
        <w:rPr>
          <w:rFonts w:hint="eastAsia" w:ascii="仿宋" w:hAnsi="仿宋" w:eastAsia="仿宋" w:cs="仿宋"/>
          <w:bCs/>
          <w:color w:val="FF0000"/>
          <w:sz w:val="32"/>
          <w:szCs w:val="32"/>
        </w:rPr>
        <w:t xml:space="preserve">       </w:t>
      </w:r>
      <w:r>
        <w:rPr>
          <w:rFonts w:hint="eastAsia" w:ascii="仿宋" w:hAnsi="仿宋" w:eastAsia="仿宋" w:cs="仿宋"/>
          <w:bCs/>
          <w:color w:val="000000"/>
          <w:sz w:val="32"/>
          <w:szCs w:val="32"/>
        </w:rPr>
        <w:t xml:space="preserve">               </w:t>
      </w:r>
      <w:r>
        <w:rPr>
          <w:rFonts w:ascii="仿宋" w:hAnsi="仿宋" w:eastAsia="仿宋" w:cs="仿宋"/>
          <w:bCs/>
          <w:color w:val="000000"/>
          <w:sz w:val="32"/>
          <w:szCs w:val="32"/>
        </w:rPr>
        <w:t xml:space="preserve">           </w:t>
      </w:r>
      <w:r>
        <w:rPr>
          <w:rFonts w:hint="eastAsia" w:ascii="仿宋" w:hAnsi="仿宋" w:eastAsia="仿宋" w:cs="仿宋"/>
          <w:bCs/>
          <w:color w:val="000000"/>
          <w:sz w:val="32"/>
          <w:szCs w:val="32"/>
        </w:rPr>
        <w:t xml:space="preserve"> </w:t>
      </w:r>
      <w:r>
        <w:rPr>
          <w:rFonts w:hint="eastAsia" w:ascii="仿宋" w:hAnsi="仿宋" w:eastAsia="仿宋" w:cs="仿宋"/>
          <w:bCs/>
          <w:color w:val="000000"/>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000000"/>
          <w:sz w:val="32"/>
          <w:szCs w:val="32"/>
        </w:rPr>
      </w:pPr>
      <w:r>
        <w:rPr>
          <w:rFonts w:hint="eastAsia" w:ascii="仿宋" w:hAnsi="仿宋" w:eastAsia="仿宋" w:cs="仿宋"/>
          <w:bCs/>
          <w:color w:val="000000"/>
          <w:sz w:val="32"/>
          <w:szCs w:val="32"/>
          <w:lang w:val="en-US" w:eastAsia="zh-CN"/>
        </w:rPr>
        <w:t xml:space="preserve">                    </w:t>
      </w:r>
      <w:r>
        <w:rPr>
          <w:rFonts w:hint="eastAsia" w:ascii="仿宋" w:hAnsi="仿宋" w:eastAsia="仿宋" w:cs="仿宋"/>
          <w:bCs/>
          <w:color w:val="000000"/>
          <w:sz w:val="32"/>
          <w:szCs w:val="32"/>
        </w:rPr>
        <w:t>202</w:t>
      </w:r>
      <w:r>
        <w:rPr>
          <w:rFonts w:hint="eastAsia" w:ascii="仿宋" w:hAnsi="仿宋" w:eastAsia="仿宋" w:cs="仿宋"/>
          <w:bCs/>
          <w:color w:val="000000"/>
          <w:sz w:val="32"/>
          <w:szCs w:val="32"/>
          <w:lang w:val="en-US" w:eastAsia="zh-CN"/>
        </w:rPr>
        <w:t>4</w:t>
      </w:r>
      <w:r>
        <w:rPr>
          <w:rFonts w:hint="eastAsia" w:ascii="仿宋" w:hAnsi="仿宋" w:eastAsia="仿宋" w:cs="仿宋"/>
          <w:bCs/>
          <w:color w:val="000000"/>
          <w:sz w:val="32"/>
          <w:szCs w:val="32"/>
        </w:rPr>
        <w:t>年</w:t>
      </w:r>
      <w:r>
        <w:rPr>
          <w:rFonts w:hint="eastAsia" w:ascii="仿宋" w:hAnsi="仿宋" w:eastAsia="仿宋" w:cs="仿宋"/>
          <w:bCs/>
          <w:color w:val="000000"/>
          <w:sz w:val="32"/>
          <w:szCs w:val="32"/>
          <w:lang w:val="en-US" w:eastAsia="zh-CN"/>
        </w:rPr>
        <w:t>3</w:t>
      </w:r>
      <w:r>
        <w:rPr>
          <w:rFonts w:hint="eastAsia" w:ascii="仿宋" w:hAnsi="仿宋" w:eastAsia="仿宋" w:cs="仿宋"/>
          <w:bCs/>
          <w:color w:val="000000"/>
          <w:sz w:val="32"/>
          <w:szCs w:val="32"/>
        </w:rPr>
        <w:t>月</w:t>
      </w:r>
      <w:r>
        <w:rPr>
          <w:rFonts w:hint="eastAsia" w:ascii="仿宋" w:hAnsi="仿宋" w:eastAsia="仿宋" w:cs="仿宋"/>
          <w:bCs/>
          <w:color w:val="000000"/>
          <w:sz w:val="32"/>
          <w:szCs w:val="32"/>
          <w:lang w:val="en-US" w:eastAsia="zh-CN"/>
        </w:rPr>
        <w:t>13</w:t>
      </w:r>
      <w:r>
        <w:rPr>
          <w:rFonts w:hint="eastAsia" w:ascii="仿宋" w:hAnsi="仿宋" w:eastAsia="仿宋" w:cs="仿宋"/>
          <w:bCs/>
          <w:color w:val="000000"/>
          <w:sz w:val="32"/>
          <w:szCs w:val="32"/>
        </w:rPr>
        <w:t>日</w:t>
      </w:r>
    </w:p>
    <w:p>
      <w:pPr>
        <w:pStyle w:val="15"/>
        <w:keepNext w:val="0"/>
        <w:keepLines w:val="0"/>
        <w:pageBreakBefore w:val="0"/>
        <w:kinsoku/>
        <w:wordWrap/>
        <w:overflowPunct/>
        <w:topLinePunct w:val="0"/>
        <w:autoSpaceDE/>
        <w:autoSpaceDN/>
        <w:bidi w:val="0"/>
        <w:spacing w:line="560" w:lineRule="exact"/>
        <w:textAlignment w:val="auto"/>
        <w:rPr>
          <w:rFonts w:hint="eastAsia" w:ascii="仿宋_GB2312" w:eastAsia="仿宋_GB2312"/>
          <w:sz w:val="32"/>
          <w:szCs w:val="32"/>
          <w:lang w:val="en-US" w:eastAsia="zh-CN"/>
        </w:rPr>
      </w:pPr>
    </w:p>
    <w:p>
      <w:pPr>
        <w:spacing w:line="536" w:lineRule="exact"/>
        <w:rPr>
          <w:rFonts w:hint="eastAsia" w:ascii="黑体" w:hAnsi="黑体" w:eastAsia="黑体" w:cs="黑体"/>
          <w:bCs/>
          <w:sz w:val="32"/>
          <w:szCs w:val="32"/>
        </w:rPr>
      </w:pPr>
    </w:p>
    <w:p>
      <w:pPr>
        <w:spacing w:line="536" w:lineRule="exact"/>
        <w:rPr>
          <w:rFonts w:hint="eastAsia" w:ascii="黑体" w:hAnsi="黑体" w:eastAsia="黑体" w:cs="黑体"/>
          <w:bCs/>
          <w:sz w:val="32"/>
          <w:szCs w:val="32"/>
        </w:rPr>
      </w:pPr>
    </w:p>
    <w:p>
      <w:pPr>
        <w:spacing w:line="536" w:lineRule="exact"/>
        <w:rPr>
          <w:rFonts w:hint="eastAsia" w:ascii="黑体" w:hAnsi="黑体" w:eastAsia="黑体" w:cs="黑体"/>
          <w:bCs/>
          <w:color w:val="000000"/>
          <w:spacing w:val="40"/>
          <w:sz w:val="36"/>
          <w:szCs w:val="36"/>
          <w:lang w:val="en-US" w:eastAsia="zh-CN"/>
        </w:rPr>
      </w:pPr>
      <w:r>
        <w:rPr>
          <w:rFonts w:hint="eastAsia" w:ascii="黑体" w:hAnsi="黑体" w:eastAsia="黑体" w:cs="黑体"/>
          <w:bCs/>
          <w:sz w:val="32"/>
          <w:szCs w:val="32"/>
        </w:rPr>
        <w:t>六、附件</w:t>
      </w:r>
    </w:p>
    <w:p>
      <w:pPr>
        <w:pStyle w:val="15"/>
        <w:rPr>
          <w:rFonts w:hint="default" w:ascii="黑体" w:hAnsi="黑体" w:eastAsia="黑体" w:cs="黑体"/>
          <w:bCs/>
          <w:color w:val="000000"/>
          <w:spacing w:val="40"/>
          <w:sz w:val="36"/>
          <w:szCs w:val="36"/>
          <w:lang w:val="en-US" w:eastAsia="zh-CN"/>
        </w:rPr>
      </w:pPr>
    </w:p>
    <w:p>
      <w:pPr>
        <w:jc w:val="center"/>
        <w:rPr>
          <w:rFonts w:hint="eastAsia" w:ascii="黑体" w:hAnsi="黑体" w:eastAsia="黑体" w:cs="黑体"/>
          <w:bCs/>
          <w:color w:val="000000"/>
          <w:sz w:val="36"/>
          <w:szCs w:val="36"/>
          <w:lang w:val="en-US" w:eastAsia="zh-CN"/>
        </w:rPr>
      </w:pPr>
      <w:r>
        <w:rPr>
          <w:rFonts w:hint="eastAsia" w:ascii="黑体" w:hAnsi="黑体" w:eastAsia="黑体" w:cs="黑体"/>
          <w:bCs/>
          <w:color w:val="000000"/>
          <w:spacing w:val="40"/>
          <w:sz w:val="36"/>
          <w:szCs w:val="36"/>
          <w:lang w:eastAsia="zh-CN"/>
        </w:rPr>
        <w:t>中央</w:t>
      </w:r>
      <w:r>
        <w:rPr>
          <w:rFonts w:hint="eastAsia" w:ascii="黑体" w:hAnsi="黑体" w:eastAsia="黑体" w:cs="黑体"/>
          <w:bCs/>
          <w:color w:val="000000"/>
          <w:spacing w:val="40"/>
          <w:sz w:val="36"/>
          <w:szCs w:val="36"/>
        </w:rPr>
        <w:t xml:space="preserve">转移支付区域（项目）绩效目标自评表 </w:t>
      </w:r>
    </w:p>
    <w:tbl>
      <w:tblPr>
        <w:tblStyle w:val="12"/>
        <w:tblW w:w="9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4"/>
        <w:gridCol w:w="396"/>
        <w:gridCol w:w="247"/>
        <w:gridCol w:w="922"/>
        <w:gridCol w:w="408"/>
        <w:gridCol w:w="1566"/>
        <w:gridCol w:w="900"/>
        <w:gridCol w:w="758"/>
        <w:gridCol w:w="150"/>
        <w:gridCol w:w="292"/>
        <w:gridCol w:w="939"/>
        <w:gridCol w:w="164"/>
        <w:gridCol w:w="1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blHeader/>
          <w:jc w:val="center"/>
        </w:trPr>
        <w:tc>
          <w:tcPr>
            <w:tcW w:w="2119" w:type="dxa"/>
            <w:gridSpan w:val="4"/>
            <w:shd w:val="clear" w:color="auto" w:fill="FFFFFF"/>
            <w:noWrap w:val="0"/>
            <w:vAlign w:val="center"/>
          </w:tcPr>
          <w:p>
            <w:pPr>
              <w:keepNext w:val="0"/>
              <w:keepLines w:val="0"/>
              <w:widowControl/>
              <w:suppressLineNumbers w:val="0"/>
              <w:spacing w:line="360" w:lineRule="auto"/>
              <w:jc w:val="center"/>
              <w:textAlignment w:val="center"/>
              <w:rPr>
                <w:rFonts w:hint="eastAsia" w:ascii="黑体" w:hAnsi="黑体" w:eastAsia="黑体" w:cs="黑体"/>
                <w:bCs/>
                <w:color w:val="000000"/>
                <w:kern w:val="0"/>
                <w:sz w:val="18"/>
                <w:szCs w:val="18"/>
                <w:highlight w:val="none"/>
              </w:rPr>
            </w:pPr>
            <w:r>
              <w:rPr>
                <w:rFonts w:hint="eastAsia" w:ascii="黑体" w:hAnsi="宋体" w:eastAsia="黑体" w:cs="黑体"/>
                <w:i w:val="0"/>
                <w:iCs w:val="0"/>
                <w:color w:val="000000"/>
                <w:kern w:val="0"/>
                <w:sz w:val="20"/>
                <w:szCs w:val="20"/>
                <w:u w:val="none"/>
                <w:lang w:val="en-US" w:eastAsia="zh-CN" w:bidi="ar"/>
              </w:rPr>
              <w:t>转移支付（项目）名称</w:t>
            </w:r>
          </w:p>
        </w:tc>
        <w:tc>
          <w:tcPr>
            <w:tcW w:w="7040" w:type="dxa"/>
            <w:gridSpan w:val="9"/>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国家重大水利工程建设基金(三峡后续工作)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blHeader/>
          <w:jc w:val="center"/>
        </w:trPr>
        <w:tc>
          <w:tcPr>
            <w:tcW w:w="2119" w:type="dxa"/>
            <w:gridSpan w:val="4"/>
            <w:shd w:val="clear" w:color="auto" w:fill="FFFFFF"/>
            <w:noWrap w:val="0"/>
            <w:vAlign w:val="center"/>
          </w:tcPr>
          <w:p>
            <w:pPr>
              <w:keepNext w:val="0"/>
              <w:keepLines w:val="0"/>
              <w:widowControl/>
              <w:suppressLineNumbers w:val="0"/>
              <w:spacing w:line="240" w:lineRule="auto"/>
              <w:jc w:val="center"/>
              <w:textAlignment w:val="center"/>
              <w:rPr>
                <w:rFonts w:hint="eastAsia" w:ascii="黑体" w:hAnsi="黑体" w:eastAsia="黑体" w:cs="黑体"/>
                <w:bCs/>
                <w:color w:val="000000"/>
                <w:kern w:val="0"/>
                <w:sz w:val="18"/>
                <w:szCs w:val="18"/>
                <w:highlight w:val="none"/>
              </w:rPr>
            </w:pPr>
            <w:r>
              <w:rPr>
                <w:rFonts w:hint="eastAsia" w:ascii="黑体" w:hAnsi="宋体" w:eastAsia="黑体" w:cs="黑体"/>
                <w:i w:val="0"/>
                <w:iCs w:val="0"/>
                <w:color w:val="000000"/>
                <w:kern w:val="0"/>
                <w:sz w:val="20"/>
                <w:szCs w:val="20"/>
                <w:u w:val="none"/>
                <w:lang w:val="en-US" w:eastAsia="zh-CN" w:bidi="ar"/>
              </w:rPr>
              <w:t>中央主管部门</w:t>
            </w:r>
          </w:p>
        </w:tc>
        <w:tc>
          <w:tcPr>
            <w:tcW w:w="7040" w:type="dxa"/>
            <w:gridSpan w:val="9"/>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黑体" w:hAnsi="黑体" w:eastAsia="黑体" w:cs="黑体"/>
                <w:bCs/>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blHeader/>
          <w:jc w:val="center"/>
        </w:trPr>
        <w:tc>
          <w:tcPr>
            <w:tcW w:w="2119" w:type="dxa"/>
            <w:gridSpan w:val="4"/>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黑体" w:eastAsia="黑体" w:cs="黑体"/>
                <w:bCs/>
                <w:color w:val="000000"/>
                <w:kern w:val="0"/>
                <w:sz w:val="18"/>
                <w:szCs w:val="18"/>
                <w:highlight w:val="none"/>
              </w:rPr>
            </w:pPr>
            <w:r>
              <w:rPr>
                <w:rFonts w:hint="eastAsia" w:ascii="黑体" w:hAnsi="宋体" w:eastAsia="黑体" w:cs="黑体"/>
                <w:i w:val="0"/>
                <w:iCs w:val="0"/>
                <w:color w:val="000000"/>
                <w:kern w:val="0"/>
                <w:sz w:val="20"/>
                <w:szCs w:val="20"/>
                <w:u w:val="none"/>
                <w:lang w:val="en-US" w:eastAsia="zh-CN" w:bidi="ar"/>
              </w:rPr>
              <w:t>地方主管部门</w:t>
            </w:r>
          </w:p>
        </w:tc>
        <w:tc>
          <w:tcPr>
            <w:tcW w:w="1974"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南昌市水利局</w:t>
            </w:r>
          </w:p>
        </w:tc>
        <w:tc>
          <w:tcPr>
            <w:tcW w:w="1808"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资金使用单位</w:t>
            </w:r>
          </w:p>
        </w:tc>
        <w:tc>
          <w:tcPr>
            <w:tcW w:w="3258" w:type="dxa"/>
            <w:gridSpan w:val="4"/>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南昌市水利局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blHeader/>
          <w:jc w:val="center"/>
        </w:trPr>
        <w:tc>
          <w:tcPr>
            <w:tcW w:w="2119" w:type="dxa"/>
            <w:gridSpan w:val="4"/>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黑体" w:hAnsi="黑体" w:eastAsia="黑体" w:cs="黑体"/>
                <w:bCs/>
                <w:color w:val="000000"/>
                <w:kern w:val="0"/>
                <w:sz w:val="18"/>
                <w:szCs w:val="18"/>
                <w:highlight w:val="none"/>
              </w:rPr>
            </w:pPr>
            <w:r>
              <w:rPr>
                <w:rFonts w:hint="eastAsia" w:ascii="黑体" w:hAnsi="黑体" w:eastAsia="黑体" w:cs="黑体"/>
                <w:bCs/>
                <w:color w:val="000000"/>
                <w:kern w:val="0"/>
                <w:sz w:val="18"/>
                <w:szCs w:val="18"/>
                <w:highlight w:val="none"/>
              </w:rPr>
              <w:t>资金投入情况</w:t>
            </w:r>
          </w:p>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黑体" w:hAnsi="黑体" w:eastAsia="黑体" w:cs="黑体"/>
                <w:bCs/>
                <w:color w:val="000000"/>
                <w:kern w:val="0"/>
                <w:sz w:val="18"/>
                <w:szCs w:val="18"/>
                <w:highlight w:val="none"/>
              </w:rPr>
            </w:pPr>
            <w:r>
              <w:rPr>
                <w:rFonts w:hint="eastAsia" w:ascii="黑体" w:hAnsi="黑体" w:eastAsia="黑体" w:cs="黑体"/>
                <w:bCs/>
                <w:color w:val="000000"/>
                <w:kern w:val="0"/>
                <w:sz w:val="18"/>
                <w:szCs w:val="18"/>
                <w:highlight w:val="none"/>
              </w:rPr>
              <w:t>（万元）</w:t>
            </w:r>
          </w:p>
        </w:tc>
        <w:tc>
          <w:tcPr>
            <w:tcW w:w="1974"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1658"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全年预算数（A）</w:t>
            </w:r>
          </w:p>
        </w:tc>
        <w:tc>
          <w:tcPr>
            <w:tcW w:w="1381"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全年执行数（B）</w:t>
            </w:r>
          </w:p>
        </w:tc>
        <w:tc>
          <w:tcPr>
            <w:tcW w:w="2027"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预算执行率（B/A*100%)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blHeader/>
          <w:jc w:val="center"/>
        </w:trPr>
        <w:tc>
          <w:tcPr>
            <w:tcW w:w="2119" w:type="dxa"/>
            <w:gridSpan w:val="4"/>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pPr>
          </w:p>
        </w:tc>
        <w:tc>
          <w:tcPr>
            <w:tcW w:w="1974"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年度资金总额：</w:t>
            </w:r>
          </w:p>
        </w:tc>
        <w:tc>
          <w:tcPr>
            <w:tcW w:w="1658"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黑体" w:hAnsi="宋体" w:cs="黑体" w:eastAsiaTheme="minorEastAsia"/>
                <w:i w:val="0"/>
                <w:iCs w:val="0"/>
                <w:color w:val="000000"/>
                <w:kern w:val="0"/>
                <w:sz w:val="20"/>
                <w:szCs w:val="20"/>
                <w:u w:val="none"/>
                <w:lang w:val="en-US" w:eastAsia="zh-CN" w:bidi="ar"/>
              </w:rPr>
            </w:pPr>
            <w:r>
              <w:rPr>
                <w:rFonts w:hint="eastAsia"/>
                <w:lang w:eastAsia="zh-CN"/>
              </w:rPr>
              <w:t>1000</w:t>
            </w:r>
            <w:r>
              <w:rPr>
                <w:rFonts w:hint="eastAsia"/>
                <w:lang w:val="en-US" w:eastAsia="zh-CN"/>
              </w:rPr>
              <w:t>.00</w:t>
            </w:r>
          </w:p>
        </w:tc>
        <w:tc>
          <w:tcPr>
            <w:tcW w:w="1381"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eastAsia="黑体"/>
                <w:lang w:eastAsia="zh-CN"/>
              </w:rPr>
              <w:t>1000</w:t>
            </w:r>
          </w:p>
        </w:tc>
        <w:tc>
          <w:tcPr>
            <w:tcW w:w="2027"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eastAsia="黑体"/>
                <w:lang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blHeader/>
          <w:jc w:val="center"/>
        </w:trPr>
        <w:tc>
          <w:tcPr>
            <w:tcW w:w="2119" w:type="dxa"/>
            <w:gridSpan w:val="4"/>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黑体" w:hAnsi="黑体" w:eastAsia="黑体" w:cs="黑体"/>
                <w:bCs/>
                <w:color w:val="000000"/>
                <w:kern w:val="0"/>
                <w:sz w:val="18"/>
                <w:szCs w:val="18"/>
                <w:highlight w:val="none"/>
              </w:rPr>
            </w:pPr>
          </w:p>
        </w:tc>
        <w:tc>
          <w:tcPr>
            <w:tcW w:w="1974"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其中：中央财政资金</w:t>
            </w:r>
          </w:p>
        </w:tc>
        <w:tc>
          <w:tcPr>
            <w:tcW w:w="1658"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lang w:eastAsia="zh-CN"/>
              </w:rPr>
              <w:t>1000</w:t>
            </w:r>
            <w:r>
              <w:rPr>
                <w:rFonts w:hint="eastAsia"/>
                <w:lang w:val="en-US" w:eastAsia="zh-CN"/>
              </w:rPr>
              <w:t>.00</w:t>
            </w:r>
          </w:p>
        </w:tc>
        <w:tc>
          <w:tcPr>
            <w:tcW w:w="1381"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eastAsia="黑体"/>
                <w:lang w:eastAsia="zh-CN"/>
              </w:rPr>
              <w:t>1000</w:t>
            </w:r>
          </w:p>
        </w:tc>
        <w:tc>
          <w:tcPr>
            <w:tcW w:w="2027"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eastAsia="黑体"/>
                <w:lang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blHeader/>
          <w:jc w:val="center"/>
        </w:trPr>
        <w:tc>
          <w:tcPr>
            <w:tcW w:w="2119" w:type="dxa"/>
            <w:gridSpan w:val="4"/>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黑体" w:hAnsi="黑体" w:eastAsia="黑体" w:cs="黑体"/>
                <w:bCs/>
                <w:color w:val="000000"/>
                <w:kern w:val="0"/>
                <w:sz w:val="18"/>
                <w:szCs w:val="18"/>
                <w:highlight w:val="none"/>
              </w:rPr>
            </w:pPr>
          </w:p>
        </w:tc>
        <w:tc>
          <w:tcPr>
            <w:tcW w:w="1974"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地方资金</w:t>
            </w:r>
          </w:p>
        </w:tc>
        <w:tc>
          <w:tcPr>
            <w:tcW w:w="1658"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w:t>
            </w:r>
          </w:p>
        </w:tc>
        <w:tc>
          <w:tcPr>
            <w:tcW w:w="1381"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w:t>
            </w:r>
          </w:p>
        </w:tc>
        <w:tc>
          <w:tcPr>
            <w:tcW w:w="2027"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blHeader/>
          <w:jc w:val="center"/>
        </w:trPr>
        <w:tc>
          <w:tcPr>
            <w:tcW w:w="2119" w:type="dxa"/>
            <w:gridSpan w:val="4"/>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黑体" w:hAnsi="黑体" w:eastAsia="黑体" w:cs="黑体"/>
                <w:bCs/>
                <w:color w:val="000000"/>
                <w:kern w:val="0"/>
                <w:sz w:val="18"/>
                <w:szCs w:val="18"/>
                <w:highlight w:val="none"/>
              </w:rPr>
            </w:pPr>
          </w:p>
        </w:tc>
        <w:tc>
          <w:tcPr>
            <w:tcW w:w="1974"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其他资金</w:t>
            </w:r>
          </w:p>
        </w:tc>
        <w:tc>
          <w:tcPr>
            <w:tcW w:w="1658"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w:t>
            </w:r>
          </w:p>
        </w:tc>
        <w:tc>
          <w:tcPr>
            <w:tcW w:w="1381"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w:t>
            </w:r>
          </w:p>
        </w:tc>
        <w:tc>
          <w:tcPr>
            <w:tcW w:w="2027"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blHeader/>
          <w:jc w:val="center"/>
        </w:trPr>
        <w:tc>
          <w:tcPr>
            <w:tcW w:w="2119" w:type="dxa"/>
            <w:gridSpan w:val="4"/>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黑体" w:hAnsi="黑体" w:eastAsia="黑体" w:cs="黑体"/>
                <w:bCs/>
                <w:color w:val="000000"/>
                <w:kern w:val="0"/>
                <w:sz w:val="18"/>
                <w:szCs w:val="18"/>
                <w:highlight w:val="none"/>
              </w:rPr>
            </w:pPr>
            <w:r>
              <w:rPr>
                <w:rFonts w:hint="eastAsia" w:ascii="黑体" w:hAnsi="黑体" w:eastAsia="黑体" w:cs="黑体"/>
                <w:bCs/>
                <w:color w:val="000000"/>
                <w:kern w:val="0"/>
                <w:sz w:val="18"/>
                <w:szCs w:val="18"/>
                <w:highlight w:val="none"/>
              </w:rPr>
              <w:t>资金管理情况</w:t>
            </w:r>
          </w:p>
        </w:tc>
        <w:tc>
          <w:tcPr>
            <w:tcW w:w="1974"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3039" w:type="dxa"/>
            <w:gridSpan w:val="5"/>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情况说明</w:t>
            </w:r>
          </w:p>
        </w:tc>
        <w:tc>
          <w:tcPr>
            <w:tcW w:w="2027"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存在问题和改进措施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blHeader/>
          <w:jc w:val="center"/>
        </w:trPr>
        <w:tc>
          <w:tcPr>
            <w:tcW w:w="2119" w:type="dxa"/>
            <w:gridSpan w:val="4"/>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1974"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分配科学性</w:t>
            </w:r>
          </w:p>
        </w:tc>
        <w:tc>
          <w:tcPr>
            <w:tcW w:w="3039" w:type="dxa"/>
            <w:gridSpan w:val="5"/>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黑体" w:hAnsi="宋体" w:eastAsia="黑体" w:cs="黑体"/>
                <w:i w:val="0"/>
                <w:iCs w:val="0"/>
                <w:color w:val="000000"/>
                <w:kern w:val="0"/>
                <w:sz w:val="13"/>
                <w:szCs w:val="13"/>
                <w:u w:val="none"/>
                <w:lang w:val="en-US" w:eastAsia="zh-CN" w:bidi="ar"/>
              </w:rPr>
            </w:pPr>
            <w:r>
              <w:rPr>
                <w:rFonts w:hint="eastAsia" w:ascii="黑体" w:hAnsi="宋体" w:eastAsia="黑体" w:cs="黑体"/>
                <w:i w:val="0"/>
                <w:iCs w:val="0"/>
                <w:color w:val="000000"/>
                <w:kern w:val="0"/>
                <w:sz w:val="13"/>
                <w:szCs w:val="13"/>
                <w:u w:val="none"/>
                <w:lang w:val="en-US" w:eastAsia="zh-CN" w:bidi="ar"/>
              </w:rPr>
              <w:t>按照转移支付管理制度以及资金管理办法规定的范围对国家重大水利工程建设基金(三峡后续工作)进行分配资金。</w:t>
            </w:r>
          </w:p>
        </w:tc>
        <w:tc>
          <w:tcPr>
            <w:tcW w:w="2027"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黑体" w:hAnsi="宋体" w:eastAsia="黑体" w:cs="黑体"/>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blHeader/>
          <w:jc w:val="center"/>
        </w:trPr>
        <w:tc>
          <w:tcPr>
            <w:tcW w:w="2119" w:type="dxa"/>
            <w:gridSpan w:val="4"/>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1974"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下达及时性</w:t>
            </w:r>
          </w:p>
        </w:tc>
        <w:tc>
          <w:tcPr>
            <w:tcW w:w="3039" w:type="dxa"/>
            <w:gridSpan w:val="5"/>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黑体" w:hAnsi="宋体" w:eastAsia="黑体" w:cs="黑体"/>
                <w:i w:val="0"/>
                <w:iCs w:val="0"/>
                <w:color w:val="000000"/>
                <w:kern w:val="0"/>
                <w:sz w:val="13"/>
                <w:szCs w:val="13"/>
                <w:u w:val="none"/>
                <w:lang w:val="en-US" w:eastAsia="zh-CN" w:bidi="ar"/>
              </w:rPr>
            </w:pPr>
            <w:r>
              <w:rPr>
                <w:rFonts w:hint="eastAsia" w:ascii="黑体" w:hAnsi="宋体" w:eastAsia="黑体" w:cs="黑体"/>
                <w:i w:val="0"/>
                <w:iCs w:val="0"/>
                <w:color w:val="000000"/>
                <w:kern w:val="0"/>
                <w:sz w:val="13"/>
                <w:szCs w:val="13"/>
                <w:u w:val="none"/>
                <w:lang w:val="en-US" w:eastAsia="zh-CN" w:bidi="ar"/>
              </w:rPr>
              <w:t>严格按照规定时间及时下达完成。</w:t>
            </w:r>
          </w:p>
        </w:tc>
        <w:tc>
          <w:tcPr>
            <w:tcW w:w="2027"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blHeader/>
          <w:jc w:val="center"/>
        </w:trPr>
        <w:tc>
          <w:tcPr>
            <w:tcW w:w="2119" w:type="dxa"/>
            <w:gridSpan w:val="4"/>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1974"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拨付合规性</w:t>
            </w:r>
          </w:p>
        </w:tc>
        <w:tc>
          <w:tcPr>
            <w:tcW w:w="3039" w:type="dxa"/>
            <w:gridSpan w:val="5"/>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黑体" w:hAnsi="宋体" w:eastAsia="黑体" w:cs="黑体"/>
                <w:i w:val="0"/>
                <w:iCs w:val="0"/>
                <w:color w:val="000000"/>
                <w:kern w:val="0"/>
                <w:sz w:val="13"/>
                <w:szCs w:val="13"/>
                <w:u w:val="none"/>
                <w:lang w:val="en-US" w:eastAsia="zh-CN" w:bidi="ar"/>
              </w:rPr>
            </w:pPr>
            <w:r>
              <w:rPr>
                <w:rFonts w:hint="eastAsia" w:ascii="黑体" w:hAnsi="宋体" w:eastAsia="黑体" w:cs="黑体"/>
                <w:i w:val="0"/>
                <w:iCs w:val="0"/>
                <w:color w:val="000000"/>
                <w:kern w:val="0"/>
                <w:sz w:val="13"/>
                <w:szCs w:val="13"/>
                <w:u w:val="none"/>
                <w:lang w:val="en-US" w:eastAsia="zh-CN" w:bidi="ar"/>
              </w:rPr>
              <w:t>未出现违规将资金从国库转入财政专户或支付到预算单位实有资金账户等问题。</w:t>
            </w:r>
          </w:p>
        </w:tc>
        <w:tc>
          <w:tcPr>
            <w:tcW w:w="2027"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blHeader/>
          <w:jc w:val="center"/>
        </w:trPr>
        <w:tc>
          <w:tcPr>
            <w:tcW w:w="2119" w:type="dxa"/>
            <w:gridSpan w:val="4"/>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1974"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使用规范性</w:t>
            </w:r>
          </w:p>
        </w:tc>
        <w:tc>
          <w:tcPr>
            <w:tcW w:w="3039" w:type="dxa"/>
            <w:gridSpan w:val="5"/>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黑体" w:hAnsi="宋体" w:eastAsia="黑体" w:cs="黑体"/>
                <w:i w:val="0"/>
                <w:iCs w:val="0"/>
                <w:color w:val="000000"/>
                <w:kern w:val="0"/>
                <w:sz w:val="13"/>
                <w:szCs w:val="13"/>
                <w:u w:val="none"/>
                <w:lang w:val="en-US" w:eastAsia="zh-CN" w:bidi="ar"/>
              </w:rPr>
            </w:pPr>
            <w:r>
              <w:rPr>
                <w:rFonts w:hint="eastAsia" w:ascii="黑体" w:hAnsi="宋体" w:eastAsia="黑体" w:cs="黑体"/>
                <w:i w:val="0"/>
                <w:iCs w:val="0"/>
                <w:color w:val="000000"/>
                <w:kern w:val="0"/>
                <w:sz w:val="13"/>
                <w:szCs w:val="13"/>
                <w:u w:val="none"/>
                <w:lang w:val="en-US" w:eastAsia="zh-CN" w:bidi="ar"/>
              </w:rPr>
              <w:t>用于大中型水库移民，未出现截留、挤占、挪用或擅自调整等问题，完成率100%。</w:t>
            </w:r>
          </w:p>
        </w:tc>
        <w:tc>
          <w:tcPr>
            <w:tcW w:w="2027"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blHeader/>
          <w:jc w:val="center"/>
        </w:trPr>
        <w:tc>
          <w:tcPr>
            <w:tcW w:w="2119" w:type="dxa"/>
            <w:gridSpan w:val="4"/>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1974"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执行准确性</w:t>
            </w:r>
          </w:p>
        </w:tc>
        <w:tc>
          <w:tcPr>
            <w:tcW w:w="3039" w:type="dxa"/>
            <w:gridSpan w:val="5"/>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黑体" w:hAnsi="宋体" w:eastAsia="黑体" w:cs="黑体"/>
                <w:i w:val="0"/>
                <w:iCs w:val="0"/>
                <w:color w:val="000000"/>
                <w:kern w:val="0"/>
                <w:sz w:val="13"/>
                <w:szCs w:val="13"/>
                <w:u w:val="none"/>
                <w:lang w:val="en-US" w:eastAsia="zh-CN" w:bidi="ar"/>
              </w:rPr>
            </w:pPr>
            <w:r>
              <w:rPr>
                <w:rFonts w:hint="eastAsia" w:ascii="黑体" w:hAnsi="宋体" w:eastAsia="黑体" w:cs="黑体"/>
                <w:i w:val="0"/>
                <w:iCs w:val="0"/>
                <w:color w:val="000000"/>
                <w:kern w:val="0"/>
                <w:sz w:val="13"/>
                <w:szCs w:val="13"/>
                <w:u w:val="none"/>
                <w:lang w:val="en-US" w:eastAsia="zh-CN" w:bidi="ar"/>
              </w:rPr>
              <w:t>执行数100%，没有偏离预算数。</w:t>
            </w:r>
          </w:p>
        </w:tc>
        <w:tc>
          <w:tcPr>
            <w:tcW w:w="2027"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blHeader/>
          <w:jc w:val="center"/>
        </w:trPr>
        <w:tc>
          <w:tcPr>
            <w:tcW w:w="2119" w:type="dxa"/>
            <w:gridSpan w:val="4"/>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1974"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预算绩效管理情况</w:t>
            </w:r>
          </w:p>
        </w:tc>
        <w:tc>
          <w:tcPr>
            <w:tcW w:w="3039" w:type="dxa"/>
            <w:gridSpan w:val="5"/>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黑体" w:hAnsi="宋体" w:eastAsia="黑体" w:cs="黑体"/>
                <w:i w:val="0"/>
                <w:iCs w:val="0"/>
                <w:color w:val="000000"/>
                <w:kern w:val="0"/>
                <w:sz w:val="13"/>
                <w:szCs w:val="13"/>
                <w:u w:val="none"/>
                <w:lang w:val="en-US" w:eastAsia="zh-CN" w:bidi="ar"/>
              </w:rPr>
            </w:pPr>
            <w:r>
              <w:rPr>
                <w:rFonts w:hint="eastAsia" w:ascii="黑体" w:hAnsi="宋体" w:eastAsia="黑体" w:cs="黑体"/>
                <w:i w:val="0"/>
                <w:iCs w:val="0"/>
                <w:color w:val="000000"/>
                <w:kern w:val="0"/>
                <w:sz w:val="13"/>
                <w:szCs w:val="13"/>
                <w:u w:val="none"/>
                <w:lang w:val="en-US" w:eastAsia="zh-CN" w:bidi="ar"/>
              </w:rPr>
              <w:t>根据绩效管理办法，我局严格按照要求对所有转移支付资金进行入库，监控，及自评，实现资金绩效管理过程全覆盖。</w:t>
            </w:r>
          </w:p>
        </w:tc>
        <w:tc>
          <w:tcPr>
            <w:tcW w:w="2027"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blHeader/>
          <w:jc w:val="center"/>
        </w:trPr>
        <w:tc>
          <w:tcPr>
            <w:tcW w:w="2119" w:type="dxa"/>
            <w:gridSpan w:val="4"/>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1974"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支出责任履行情况</w:t>
            </w:r>
          </w:p>
        </w:tc>
        <w:tc>
          <w:tcPr>
            <w:tcW w:w="3039" w:type="dxa"/>
            <w:gridSpan w:val="5"/>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黑体" w:hAnsi="宋体" w:eastAsia="黑体" w:cs="黑体"/>
                <w:i w:val="0"/>
                <w:iCs w:val="0"/>
                <w:color w:val="000000"/>
                <w:kern w:val="0"/>
                <w:sz w:val="13"/>
                <w:szCs w:val="13"/>
                <w:u w:val="none"/>
                <w:lang w:val="en-US" w:eastAsia="zh-CN" w:bidi="ar"/>
              </w:rPr>
            </w:pPr>
            <w:r>
              <w:rPr>
                <w:rFonts w:hint="eastAsia" w:ascii="黑体" w:hAnsi="宋体" w:eastAsia="黑体" w:cs="黑体"/>
                <w:i w:val="0"/>
                <w:iCs w:val="0"/>
                <w:color w:val="000000"/>
                <w:kern w:val="0"/>
                <w:sz w:val="13"/>
                <w:szCs w:val="13"/>
                <w:u w:val="none"/>
                <w:lang w:val="en-US" w:eastAsia="zh-CN" w:bidi="ar"/>
              </w:rPr>
              <w:t>在资金拨付、监管等方面，我局均严格按照项目资金管理办法，严格执行财务管理制度，财务处理及时、会计核算规范。</w:t>
            </w:r>
          </w:p>
        </w:tc>
        <w:tc>
          <w:tcPr>
            <w:tcW w:w="2027"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blHeader/>
          <w:jc w:val="center"/>
        </w:trPr>
        <w:tc>
          <w:tcPr>
            <w:tcW w:w="950" w:type="dxa"/>
            <w:gridSpan w:val="2"/>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总体目标完成情况</w:t>
            </w:r>
          </w:p>
        </w:tc>
        <w:tc>
          <w:tcPr>
            <w:tcW w:w="3143" w:type="dxa"/>
            <w:gridSpan w:val="4"/>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总体目标</w:t>
            </w:r>
          </w:p>
        </w:tc>
        <w:tc>
          <w:tcPr>
            <w:tcW w:w="5066" w:type="dxa"/>
            <w:gridSpan w:val="7"/>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全年实际完成情况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blHeader/>
          <w:jc w:val="center"/>
        </w:trPr>
        <w:tc>
          <w:tcPr>
            <w:tcW w:w="950"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3143" w:type="dxa"/>
            <w:gridSpan w:val="4"/>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400" w:firstLineChars="200"/>
              <w:jc w:val="left"/>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确保我市国家重大水利工程建设基金(三峡后续工作)及时发放到位，保障移民生命财产安全。</w:t>
            </w:r>
          </w:p>
        </w:tc>
        <w:tc>
          <w:tcPr>
            <w:tcW w:w="5066" w:type="dxa"/>
            <w:gridSpan w:val="7"/>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1.通过实施三峡后续工程运行对长江中下游重点影响区影响处理项目1个，缓解所在区域居民生活用水矛盾，改善居民用水质量；                                                      2.通过建设配水管网，供水规模1.4万m3/d，解决47672人供水问题。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blHeader/>
          <w:jc w:val="center"/>
        </w:trPr>
        <w:tc>
          <w:tcPr>
            <w:tcW w:w="554" w:type="dxa"/>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绩效指标</w:t>
            </w:r>
          </w:p>
        </w:tc>
        <w:tc>
          <w:tcPr>
            <w:tcW w:w="643"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黑体" w:hAnsi="宋体" w:eastAsia="黑体" w:cs="黑体"/>
                <w:i w:val="0"/>
                <w:iCs w:val="0"/>
                <w:color w:val="000000"/>
                <w:kern w:val="0"/>
                <w:sz w:val="16"/>
                <w:szCs w:val="16"/>
                <w:u w:val="none"/>
                <w:lang w:val="en-US" w:eastAsia="zh-CN" w:bidi="ar"/>
              </w:rPr>
            </w:pPr>
            <w:r>
              <w:rPr>
                <w:rFonts w:hint="eastAsia" w:ascii="黑体" w:hAnsi="宋体" w:eastAsia="黑体" w:cs="黑体"/>
                <w:i w:val="0"/>
                <w:iCs w:val="0"/>
                <w:color w:val="000000"/>
                <w:kern w:val="0"/>
                <w:sz w:val="16"/>
                <w:szCs w:val="16"/>
                <w:u w:val="none"/>
                <w:lang w:val="en-US" w:eastAsia="zh-CN" w:bidi="ar"/>
              </w:rPr>
              <w:t>一级指标</w:t>
            </w:r>
          </w:p>
        </w:tc>
        <w:tc>
          <w:tcPr>
            <w:tcW w:w="1330"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黑体" w:hAnsi="宋体" w:eastAsia="黑体" w:cs="黑体"/>
                <w:i w:val="0"/>
                <w:iCs w:val="0"/>
                <w:color w:val="000000"/>
                <w:kern w:val="0"/>
                <w:sz w:val="16"/>
                <w:szCs w:val="16"/>
                <w:u w:val="none"/>
                <w:lang w:val="en-US" w:eastAsia="zh-CN" w:bidi="ar"/>
              </w:rPr>
            </w:pPr>
            <w:r>
              <w:rPr>
                <w:rFonts w:hint="eastAsia" w:ascii="黑体" w:hAnsi="宋体" w:eastAsia="黑体" w:cs="黑体"/>
                <w:i w:val="0"/>
                <w:iCs w:val="0"/>
                <w:color w:val="000000"/>
                <w:kern w:val="0"/>
                <w:sz w:val="16"/>
                <w:szCs w:val="16"/>
                <w:u w:val="none"/>
                <w:lang w:val="en-US" w:eastAsia="zh-CN" w:bidi="ar"/>
              </w:rPr>
              <w:t>二级指标</w:t>
            </w:r>
          </w:p>
        </w:tc>
        <w:tc>
          <w:tcPr>
            <w:tcW w:w="2466"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黑体" w:hAnsi="宋体" w:eastAsia="黑体" w:cs="黑体"/>
                <w:i w:val="0"/>
                <w:iCs w:val="0"/>
                <w:color w:val="000000"/>
                <w:kern w:val="0"/>
                <w:sz w:val="16"/>
                <w:szCs w:val="16"/>
                <w:u w:val="none"/>
                <w:lang w:val="en-US" w:eastAsia="zh-CN" w:bidi="ar"/>
              </w:rPr>
            </w:pPr>
            <w:r>
              <w:rPr>
                <w:rFonts w:hint="eastAsia" w:ascii="黑体" w:hAnsi="宋体" w:eastAsia="黑体" w:cs="黑体"/>
                <w:i w:val="0"/>
                <w:iCs w:val="0"/>
                <w:color w:val="000000"/>
                <w:kern w:val="0"/>
                <w:sz w:val="16"/>
                <w:szCs w:val="16"/>
                <w:u w:val="none"/>
                <w:lang w:val="en-US" w:eastAsia="zh-CN" w:bidi="ar"/>
              </w:rPr>
              <w:t>三级指标</w:t>
            </w:r>
          </w:p>
        </w:tc>
        <w:tc>
          <w:tcPr>
            <w:tcW w:w="1200" w:type="dxa"/>
            <w:gridSpan w:val="3"/>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黑体" w:hAnsi="宋体" w:eastAsia="黑体" w:cs="黑体"/>
                <w:i w:val="0"/>
                <w:iCs w:val="0"/>
                <w:color w:val="000000"/>
                <w:kern w:val="0"/>
                <w:sz w:val="16"/>
                <w:szCs w:val="16"/>
                <w:u w:val="none"/>
                <w:lang w:val="en-US" w:eastAsia="zh-CN" w:bidi="ar"/>
              </w:rPr>
            </w:pPr>
            <w:r>
              <w:rPr>
                <w:rFonts w:hint="eastAsia" w:ascii="黑体" w:hAnsi="宋体" w:eastAsia="黑体" w:cs="黑体"/>
                <w:i w:val="0"/>
                <w:iCs w:val="0"/>
                <w:color w:val="000000"/>
                <w:kern w:val="0"/>
                <w:sz w:val="16"/>
                <w:szCs w:val="16"/>
                <w:u w:val="none"/>
                <w:lang w:val="en-US" w:eastAsia="zh-CN" w:bidi="ar"/>
              </w:rPr>
              <w:t>指标值</w:t>
            </w:r>
          </w:p>
        </w:tc>
        <w:tc>
          <w:tcPr>
            <w:tcW w:w="1103"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黑体" w:hAnsi="宋体" w:eastAsia="黑体" w:cs="黑体"/>
                <w:i w:val="0"/>
                <w:iCs w:val="0"/>
                <w:color w:val="000000"/>
                <w:kern w:val="0"/>
                <w:sz w:val="16"/>
                <w:szCs w:val="16"/>
                <w:u w:val="none"/>
                <w:lang w:val="en-US" w:eastAsia="zh-CN" w:bidi="ar"/>
              </w:rPr>
            </w:pPr>
            <w:r>
              <w:rPr>
                <w:rFonts w:hint="eastAsia" w:ascii="黑体" w:hAnsi="宋体" w:eastAsia="黑体" w:cs="黑体"/>
                <w:i w:val="0"/>
                <w:iCs w:val="0"/>
                <w:color w:val="000000"/>
                <w:kern w:val="0"/>
                <w:sz w:val="16"/>
                <w:szCs w:val="16"/>
                <w:u w:val="none"/>
                <w:lang w:val="en-US" w:eastAsia="zh-CN" w:bidi="ar"/>
              </w:rPr>
              <w:t>全年实际</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黑体" w:hAnsi="宋体" w:eastAsia="黑体" w:cs="黑体"/>
                <w:i w:val="0"/>
                <w:iCs w:val="0"/>
                <w:color w:val="000000"/>
                <w:kern w:val="0"/>
                <w:sz w:val="16"/>
                <w:szCs w:val="16"/>
                <w:u w:val="none"/>
                <w:lang w:val="en-US" w:eastAsia="zh-CN" w:bidi="ar"/>
              </w:rPr>
            </w:pPr>
            <w:r>
              <w:rPr>
                <w:rFonts w:hint="eastAsia" w:ascii="黑体" w:hAnsi="宋体" w:eastAsia="黑体" w:cs="黑体"/>
                <w:i w:val="0"/>
                <w:iCs w:val="0"/>
                <w:color w:val="000000"/>
                <w:kern w:val="0"/>
                <w:sz w:val="16"/>
                <w:szCs w:val="16"/>
                <w:u w:val="none"/>
                <w:lang w:val="en-US" w:eastAsia="zh-CN" w:bidi="ar"/>
              </w:rPr>
              <w:t>完成值</w:t>
            </w:r>
          </w:p>
        </w:tc>
        <w:tc>
          <w:tcPr>
            <w:tcW w:w="1863"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黑体" w:hAnsi="宋体" w:eastAsia="黑体" w:cs="黑体"/>
                <w:i w:val="0"/>
                <w:iCs w:val="0"/>
                <w:color w:val="000000"/>
                <w:kern w:val="0"/>
                <w:sz w:val="16"/>
                <w:szCs w:val="16"/>
                <w:u w:val="none"/>
                <w:lang w:val="en-US" w:eastAsia="zh-CN" w:bidi="ar"/>
              </w:rPr>
            </w:pPr>
            <w:r>
              <w:rPr>
                <w:rFonts w:hint="eastAsia" w:ascii="黑体" w:hAnsi="宋体" w:eastAsia="黑体" w:cs="黑体"/>
                <w:i w:val="0"/>
                <w:iCs w:val="0"/>
                <w:color w:val="000000"/>
                <w:kern w:val="0"/>
                <w:sz w:val="16"/>
                <w:szCs w:val="16"/>
                <w:u w:val="none"/>
                <w:lang w:val="en-US" w:eastAsia="zh-CN" w:bidi="ar"/>
              </w:rPr>
              <w:t>未完成原因和</w:t>
            </w:r>
            <w:r>
              <w:rPr>
                <w:rFonts w:hint="eastAsia" w:ascii="黑体" w:hAnsi="宋体" w:eastAsia="黑体" w:cs="黑体"/>
                <w:i w:val="0"/>
                <w:iCs w:val="0"/>
                <w:color w:val="000000"/>
                <w:kern w:val="0"/>
                <w:sz w:val="16"/>
                <w:szCs w:val="16"/>
                <w:u w:val="none"/>
                <w:lang w:val="en-US" w:eastAsia="zh-CN" w:bidi="ar"/>
              </w:rPr>
              <w:br w:type="textWrapping"/>
            </w:r>
            <w:r>
              <w:rPr>
                <w:rFonts w:hint="eastAsia" w:ascii="黑体" w:hAnsi="宋体" w:eastAsia="黑体" w:cs="黑体"/>
                <w:i w:val="0"/>
                <w:iCs w:val="0"/>
                <w:color w:val="000000"/>
                <w:kern w:val="0"/>
                <w:sz w:val="16"/>
                <w:szCs w:val="16"/>
                <w:u w:val="none"/>
                <w:lang w:val="en-US" w:eastAsia="zh-CN" w:bidi="ar"/>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blHeader/>
          <w:jc w:val="center"/>
        </w:trPr>
        <w:tc>
          <w:tcPr>
            <w:tcW w:w="5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643" w:type="dxa"/>
            <w:gridSpan w:val="2"/>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产</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出</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标</w:t>
            </w:r>
          </w:p>
        </w:tc>
        <w:tc>
          <w:tcPr>
            <w:tcW w:w="1330" w:type="dxa"/>
            <w:gridSpan w:val="2"/>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数量指标</w:t>
            </w:r>
          </w:p>
        </w:tc>
        <w:tc>
          <w:tcPr>
            <w:tcW w:w="2466"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长江小下游相关影响处理</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实施项目数量</w:t>
            </w:r>
          </w:p>
        </w:tc>
        <w:tc>
          <w:tcPr>
            <w:tcW w:w="1200"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1个</w:t>
            </w:r>
          </w:p>
        </w:tc>
        <w:tc>
          <w:tcPr>
            <w:tcW w:w="1103"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1个</w:t>
            </w:r>
          </w:p>
        </w:tc>
        <w:tc>
          <w:tcPr>
            <w:tcW w:w="1863"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blHeader/>
          <w:jc w:val="center"/>
        </w:trPr>
        <w:tc>
          <w:tcPr>
            <w:tcW w:w="5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643"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1330"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2466"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长江小下游相关影响处理</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水厂和涵闸泵站功能修复处数</w:t>
            </w:r>
          </w:p>
        </w:tc>
        <w:tc>
          <w:tcPr>
            <w:tcW w:w="1200"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1处</w:t>
            </w:r>
          </w:p>
        </w:tc>
        <w:tc>
          <w:tcPr>
            <w:tcW w:w="1103"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1处</w:t>
            </w:r>
          </w:p>
        </w:tc>
        <w:tc>
          <w:tcPr>
            <w:tcW w:w="1863"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blHeader/>
          <w:jc w:val="center"/>
        </w:trPr>
        <w:tc>
          <w:tcPr>
            <w:tcW w:w="5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643"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1330" w:type="dxa"/>
            <w:gridSpan w:val="2"/>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质量指标</w:t>
            </w:r>
          </w:p>
        </w:tc>
        <w:tc>
          <w:tcPr>
            <w:tcW w:w="2466"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工程质量合格率</w:t>
            </w:r>
          </w:p>
        </w:tc>
        <w:tc>
          <w:tcPr>
            <w:tcW w:w="1200"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100%</w:t>
            </w:r>
          </w:p>
        </w:tc>
        <w:tc>
          <w:tcPr>
            <w:tcW w:w="1103"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100%</w:t>
            </w:r>
          </w:p>
        </w:tc>
        <w:tc>
          <w:tcPr>
            <w:tcW w:w="1863"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blHeader/>
          <w:jc w:val="center"/>
        </w:trPr>
        <w:tc>
          <w:tcPr>
            <w:tcW w:w="5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643"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1330"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2466"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项目验收通过率</w:t>
            </w:r>
          </w:p>
        </w:tc>
        <w:tc>
          <w:tcPr>
            <w:tcW w:w="1200"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100%</w:t>
            </w:r>
          </w:p>
        </w:tc>
        <w:tc>
          <w:tcPr>
            <w:tcW w:w="1103"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100%</w:t>
            </w:r>
          </w:p>
        </w:tc>
        <w:tc>
          <w:tcPr>
            <w:tcW w:w="1863"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tblHeader/>
          <w:jc w:val="center"/>
        </w:trPr>
        <w:tc>
          <w:tcPr>
            <w:tcW w:w="5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643"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1330" w:type="dxa"/>
            <w:gridSpan w:val="2"/>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时效指标</w:t>
            </w:r>
          </w:p>
        </w:tc>
        <w:tc>
          <w:tcPr>
            <w:tcW w:w="2466"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项目按时开工率</w:t>
            </w:r>
          </w:p>
        </w:tc>
        <w:tc>
          <w:tcPr>
            <w:tcW w:w="1200"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100%</w:t>
            </w:r>
          </w:p>
        </w:tc>
        <w:tc>
          <w:tcPr>
            <w:tcW w:w="1103"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100%</w:t>
            </w:r>
          </w:p>
        </w:tc>
        <w:tc>
          <w:tcPr>
            <w:tcW w:w="1863"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tblHeader/>
          <w:jc w:val="center"/>
        </w:trPr>
        <w:tc>
          <w:tcPr>
            <w:tcW w:w="5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643"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1330"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2466"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项目按时验收率</w:t>
            </w:r>
          </w:p>
        </w:tc>
        <w:tc>
          <w:tcPr>
            <w:tcW w:w="1200"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100%</w:t>
            </w:r>
          </w:p>
        </w:tc>
        <w:tc>
          <w:tcPr>
            <w:tcW w:w="1103"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100%</w:t>
            </w:r>
          </w:p>
        </w:tc>
        <w:tc>
          <w:tcPr>
            <w:tcW w:w="1863"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tblHeader/>
          <w:jc w:val="center"/>
        </w:trPr>
        <w:tc>
          <w:tcPr>
            <w:tcW w:w="5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643"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1330"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2466"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年度预算执行率</w:t>
            </w:r>
          </w:p>
        </w:tc>
        <w:tc>
          <w:tcPr>
            <w:tcW w:w="1200"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100%</w:t>
            </w:r>
          </w:p>
        </w:tc>
        <w:tc>
          <w:tcPr>
            <w:tcW w:w="1103"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100%</w:t>
            </w:r>
          </w:p>
        </w:tc>
        <w:tc>
          <w:tcPr>
            <w:tcW w:w="1863"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blHeader/>
          <w:jc w:val="center"/>
        </w:trPr>
        <w:tc>
          <w:tcPr>
            <w:tcW w:w="5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643"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1330" w:type="dxa"/>
            <w:gridSpan w:val="2"/>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成本指标</w:t>
            </w:r>
          </w:p>
        </w:tc>
        <w:tc>
          <w:tcPr>
            <w:tcW w:w="2466"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实际完成投资控制在概算内的项目比例</w:t>
            </w:r>
          </w:p>
        </w:tc>
        <w:tc>
          <w:tcPr>
            <w:tcW w:w="1200"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100%</w:t>
            </w:r>
          </w:p>
        </w:tc>
        <w:tc>
          <w:tcPr>
            <w:tcW w:w="1103"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100%</w:t>
            </w:r>
          </w:p>
        </w:tc>
        <w:tc>
          <w:tcPr>
            <w:tcW w:w="1863"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blHeader/>
          <w:jc w:val="center"/>
        </w:trPr>
        <w:tc>
          <w:tcPr>
            <w:tcW w:w="5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643"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1330"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2466"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项目调整概算程序完备率</w:t>
            </w:r>
          </w:p>
        </w:tc>
        <w:tc>
          <w:tcPr>
            <w:tcW w:w="1200"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100%</w:t>
            </w:r>
          </w:p>
        </w:tc>
        <w:tc>
          <w:tcPr>
            <w:tcW w:w="1103"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eastAsia="黑体"/>
                <w:lang w:eastAsia="zh-CN"/>
              </w:rPr>
              <w:t>100%</w:t>
            </w:r>
          </w:p>
        </w:tc>
        <w:tc>
          <w:tcPr>
            <w:tcW w:w="1863"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blHeader/>
          <w:jc w:val="center"/>
        </w:trPr>
        <w:tc>
          <w:tcPr>
            <w:tcW w:w="5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643" w:type="dxa"/>
            <w:gridSpan w:val="2"/>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效</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益</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指</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标</w:t>
            </w:r>
          </w:p>
        </w:tc>
        <w:tc>
          <w:tcPr>
            <w:tcW w:w="1330"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经济效益</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指标</w:t>
            </w:r>
          </w:p>
        </w:tc>
        <w:tc>
          <w:tcPr>
            <w:tcW w:w="2466"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无</w:t>
            </w:r>
          </w:p>
        </w:tc>
        <w:tc>
          <w:tcPr>
            <w:tcW w:w="1200"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w:t>
            </w:r>
          </w:p>
        </w:tc>
        <w:tc>
          <w:tcPr>
            <w:tcW w:w="1103"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w:t>
            </w:r>
          </w:p>
        </w:tc>
        <w:tc>
          <w:tcPr>
            <w:tcW w:w="1863"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blHeader/>
          <w:jc w:val="center"/>
        </w:trPr>
        <w:tc>
          <w:tcPr>
            <w:tcW w:w="5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643"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p>
        </w:tc>
        <w:tc>
          <w:tcPr>
            <w:tcW w:w="1330"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社会效益</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指标</w:t>
            </w:r>
          </w:p>
        </w:tc>
        <w:tc>
          <w:tcPr>
            <w:tcW w:w="2466"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三峡后续供水项目农村居民受益人口</w:t>
            </w:r>
          </w:p>
        </w:tc>
        <w:tc>
          <w:tcPr>
            <w:tcW w:w="1200"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47672人</w:t>
            </w:r>
          </w:p>
        </w:tc>
        <w:tc>
          <w:tcPr>
            <w:tcW w:w="1103"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47672人</w:t>
            </w:r>
          </w:p>
        </w:tc>
        <w:tc>
          <w:tcPr>
            <w:tcW w:w="1863"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13"/>
                <w:szCs w:val="13"/>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blHeader/>
          <w:jc w:val="center"/>
        </w:trPr>
        <w:tc>
          <w:tcPr>
            <w:tcW w:w="5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643"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p>
        </w:tc>
        <w:tc>
          <w:tcPr>
            <w:tcW w:w="1330"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生态效益</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指标</w:t>
            </w:r>
          </w:p>
        </w:tc>
        <w:tc>
          <w:tcPr>
            <w:tcW w:w="2466"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对当地生态环境产生积极影响（是/否）</w:t>
            </w:r>
          </w:p>
        </w:tc>
        <w:tc>
          <w:tcPr>
            <w:tcW w:w="1200"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是</w:t>
            </w:r>
          </w:p>
        </w:tc>
        <w:tc>
          <w:tcPr>
            <w:tcW w:w="1103"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是</w:t>
            </w:r>
          </w:p>
        </w:tc>
        <w:tc>
          <w:tcPr>
            <w:tcW w:w="1863"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blHeader/>
          <w:jc w:val="center"/>
        </w:trPr>
        <w:tc>
          <w:tcPr>
            <w:tcW w:w="5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643"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p>
        </w:tc>
        <w:tc>
          <w:tcPr>
            <w:tcW w:w="1330"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可持续影响</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指标</w:t>
            </w:r>
          </w:p>
        </w:tc>
        <w:tc>
          <w:tcPr>
            <w:tcW w:w="2466"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无</w:t>
            </w:r>
          </w:p>
        </w:tc>
        <w:tc>
          <w:tcPr>
            <w:tcW w:w="1200"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w:t>
            </w:r>
          </w:p>
        </w:tc>
        <w:tc>
          <w:tcPr>
            <w:tcW w:w="1103"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w:t>
            </w:r>
          </w:p>
        </w:tc>
        <w:tc>
          <w:tcPr>
            <w:tcW w:w="1863"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blHeader/>
          <w:jc w:val="center"/>
        </w:trPr>
        <w:tc>
          <w:tcPr>
            <w:tcW w:w="5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643" w:type="dxa"/>
            <w:gridSpan w:val="2"/>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满意度</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指标</w:t>
            </w:r>
          </w:p>
        </w:tc>
        <w:tc>
          <w:tcPr>
            <w:tcW w:w="1330" w:type="dxa"/>
            <w:gridSpan w:val="2"/>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服务对象</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满意度指标</w:t>
            </w:r>
          </w:p>
        </w:tc>
        <w:tc>
          <w:tcPr>
            <w:tcW w:w="2466"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移民安置区居民(含移民)满意度(%)</w:t>
            </w:r>
          </w:p>
        </w:tc>
        <w:tc>
          <w:tcPr>
            <w:tcW w:w="1200"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≥90%</w:t>
            </w:r>
          </w:p>
        </w:tc>
        <w:tc>
          <w:tcPr>
            <w:tcW w:w="1103"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95%</w:t>
            </w:r>
          </w:p>
        </w:tc>
        <w:tc>
          <w:tcPr>
            <w:tcW w:w="1863"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blHeader/>
          <w:jc w:val="center"/>
        </w:trPr>
        <w:tc>
          <w:tcPr>
            <w:tcW w:w="5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643"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1330"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2466"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促进相关信访问题化解率</w:t>
            </w:r>
          </w:p>
        </w:tc>
        <w:tc>
          <w:tcPr>
            <w:tcW w:w="1200"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≥90%</w:t>
            </w:r>
          </w:p>
        </w:tc>
        <w:tc>
          <w:tcPr>
            <w:tcW w:w="1103"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90%</w:t>
            </w:r>
          </w:p>
        </w:tc>
        <w:tc>
          <w:tcPr>
            <w:tcW w:w="1863"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blHeader/>
          <w:jc w:val="center"/>
        </w:trPr>
        <w:tc>
          <w:tcPr>
            <w:tcW w:w="554"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3"/>
                <w:szCs w:val="13"/>
                <w:u w:val="none"/>
                <w:lang w:val="en-US" w:eastAsia="zh-CN" w:bidi="ar"/>
              </w:rPr>
            </w:pPr>
            <w:r>
              <w:rPr>
                <w:rFonts w:hint="eastAsia" w:ascii="黑体" w:hAnsi="宋体" w:eastAsia="黑体" w:cs="黑体"/>
                <w:i w:val="0"/>
                <w:iCs w:val="0"/>
                <w:color w:val="000000"/>
                <w:kern w:val="0"/>
                <w:sz w:val="13"/>
                <w:szCs w:val="13"/>
                <w:u w:val="none"/>
                <w:lang w:val="en-US" w:eastAsia="zh-CN" w:bidi="ar"/>
              </w:rPr>
              <w:t>说明</w:t>
            </w:r>
          </w:p>
        </w:tc>
        <w:tc>
          <w:tcPr>
            <w:tcW w:w="8605" w:type="dxa"/>
            <w:gridSpan w:val="12"/>
            <w:shd w:val="clear" w:color="auto" w:fill="FFFFFF"/>
            <w:noWrap w:val="0"/>
            <w:vAlign w:val="center"/>
          </w:tcPr>
          <w:p>
            <w:pPr>
              <w:keepNext w:val="0"/>
              <w:keepLines w:val="0"/>
              <w:pageBreakBefore w:val="0"/>
              <w:widowControl/>
              <w:tabs>
                <w:tab w:val="left" w:pos="438"/>
              </w:tabs>
              <w:kinsoku/>
              <w:wordWrap/>
              <w:overflowPunct/>
              <w:topLinePunct w:val="0"/>
              <w:autoSpaceDE/>
              <w:autoSpaceDN/>
              <w:bidi w:val="0"/>
              <w:adjustRightInd/>
              <w:snapToGrid/>
              <w:spacing w:line="240" w:lineRule="auto"/>
              <w:jc w:val="left"/>
              <w:textAlignment w:val="auto"/>
              <w:rPr>
                <w:rFonts w:hint="default" w:ascii="黑体" w:hAnsi="宋体" w:eastAsia="黑体" w:cs="黑体"/>
                <w:i w:val="0"/>
                <w:iCs w:val="0"/>
                <w:color w:val="000000"/>
                <w:kern w:val="0"/>
                <w:sz w:val="13"/>
                <w:szCs w:val="13"/>
                <w:u w:val="none"/>
                <w:lang w:val="en-US" w:eastAsia="zh-CN" w:bidi="ar"/>
              </w:rPr>
            </w:pPr>
            <w:r>
              <w:rPr>
                <w:rFonts w:hint="eastAsia" w:ascii="黑体" w:hAnsi="宋体" w:eastAsia="黑体" w:cs="黑体"/>
                <w:i w:val="0"/>
                <w:iCs w:val="0"/>
                <w:color w:val="000000"/>
                <w:kern w:val="0"/>
                <w:sz w:val="13"/>
                <w:szCs w:val="13"/>
                <w:u w:val="none"/>
                <w:lang w:val="en-US" w:eastAsia="zh-CN" w:bidi="ar"/>
              </w:rPr>
              <w:t>无</w:t>
            </w:r>
            <w:r>
              <w:rPr>
                <w:rFonts w:hint="eastAsia" w:ascii="黑体" w:hAnsi="宋体" w:eastAsia="黑体" w:cs="黑体"/>
                <w:i w:val="0"/>
                <w:iCs w:val="0"/>
                <w:color w:val="000000"/>
                <w:kern w:val="0"/>
                <w:sz w:val="13"/>
                <w:szCs w:val="13"/>
                <w:u w:val="none"/>
                <w:lang w:val="en-US" w:eastAsia="zh-CN" w:bidi="ar"/>
              </w:rPr>
              <w:tab/>
            </w:r>
          </w:p>
        </w:tc>
      </w:tr>
    </w:tbl>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黑体" w:hAnsi="宋体" w:eastAsia="黑体" w:cs="黑体"/>
          <w:b w:val="0"/>
          <w:bCs w:val="0"/>
          <w:i w:val="0"/>
          <w:iCs w:val="0"/>
          <w:color w:val="000000"/>
          <w:kern w:val="0"/>
          <w:sz w:val="15"/>
          <w:szCs w:val="15"/>
          <w:u w:val="none"/>
          <w:lang w:val="en-US" w:eastAsia="zh-CN" w:bidi="ar"/>
        </w:rPr>
      </w:pPr>
      <w:r>
        <w:rPr>
          <w:rFonts w:hint="default" w:ascii="黑体" w:hAnsi="宋体" w:eastAsia="黑体" w:cs="黑体"/>
          <w:b w:val="0"/>
          <w:bCs w:val="0"/>
          <w:i w:val="0"/>
          <w:iCs w:val="0"/>
          <w:color w:val="000000"/>
          <w:kern w:val="0"/>
          <w:sz w:val="15"/>
          <w:szCs w:val="15"/>
          <w:u w:val="none"/>
          <w:lang w:val="en-US" w:eastAsia="zh-CN" w:bidi="ar"/>
        </w:rPr>
        <w:t>注：1．资金使用单位按项目绩效目标填报，主管部门汇总时按区域绩效目标填报。</w:t>
      </w:r>
    </w:p>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黑体" w:hAnsi="宋体" w:eastAsia="黑体" w:cs="黑体"/>
          <w:b w:val="0"/>
          <w:bCs w:val="0"/>
          <w:i w:val="0"/>
          <w:iCs w:val="0"/>
          <w:color w:val="000000"/>
          <w:kern w:val="0"/>
          <w:sz w:val="15"/>
          <w:szCs w:val="15"/>
          <w:u w:val="none"/>
          <w:lang w:val="en-US" w:eastAsia="zh-CN" w:bidi="ar"/>
        </w:rPr>
      </w:pPr>
      <w:r>
        <w:rPr>
          <w:rFonts w:hint="default" w:ascii="黑体" w:hAnsi="宋体" w:eastAsia="黑体" w:cs="黑体"/>
          <w:b w:val="0"/>
          <w:bCs w:val="0"/>
          <w:i w:val="0"/>
          <w:iCs w:val="0"/>
          <w:color w:val="000000"/>
          <w:kern w:val="0"/>
          <w:sz w:val="15"/>
          <w:szCs w:val="15"/>
          <w:u w:val="none"/>
          <w:lang w:val="en-US" w:eastAsia="zh-CN" w:bidi="ar"/>
        </w:rPr>
        <w:t xml:space="preserve">    2. 其他资金包括与中央财政资金、地方财政资金共同投入到同一项目的自有资金、社会资金，以及以前年度的结转结余资金等。</w:t>
      </w:r>
    </w:p>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黑体" w:hAnsi="宋体" w:eastAsia="黑体" w:cs="黑体"/>
          <w:b w:val="0"/>
          <w:bCs w:val="0"/>
          <w:i w:val="0"/>
          <w:iCs w:val="0"/>
          <w:color w:val="000000"/>
          <w:kern w:val="0"/>
          <w:sz w:val="15"/>
          <w:szCs w:val="15"/>
          <w:u w:val="none"/>
          <w:lang w:val="en-US" w:eastAsia="zh-CN" w:bidi="ar"/>
        </w:rPr>
      </w:pPr>
      <w:r>
        <w:rPr>
          <w:rFonts w:hint="default" w:ascii="黑体" w:hAnsi="宋体" w:eastAsia="黑体" w:cs="黑体"/>
          <w:b w:val="0"/>
          <w:bCs w:val="0"/>
          <w:i w:val="0"/>
          <w:iCs w:val="0"/>
          <w:color w:val="000000"/>
          <w:kern w:val="0"/>
          <w:sz w:val="15"/>
          <w:szCs w:val="15"/>
          <w:u w:val="none"/>
          <w:lang w:val="en-US" w:eastAsia="zh-CN" w:bidi="ar"/>
        </w:rPr>
        <w:t xml:space="preserve">    3. 全年执行数是指按照国库集中支付制度要求所形成的实际支出。</w:t>
      </w:r>
    </w:p>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黑体" w:hAnsi="宋体" w:eastAsia="黑体" w:cs="黑体"/>
          <w:b w:val="0"/>
          <w:bCs w:val="0"/>
          <w:i w:val="0"/>
          <w:iCs w:val="0"/>
          <w:color w:val="000000"/>
          <w:kern w:val="0"/>
          <w:sz w:val="15"/>
          <w:szCs w:val="15"/>
          <w:u w:val="none"/>
          <w:lang w:val="en-US" w:eastAsia="zh-CN" w:bidi="ar"/>
        </w:rPr>
      </w:pPr>
      <w:r>
        <w:rPr>
          <w:rFonts w:hint="default" w:ascii="黑体" w:hAnsi="宋体" w:eastAsia="黑体" w:cs="黑体"/>
          <w:b w:val="0"/>
          <w:bCs w:val="0"/>
          <w:i w:val="0"/>
          <w:iCs w:val="0"/>
          <w:color w:val="000000"/>
          <w:kern w:val="0"/>
          <w:sz w:val="15"/>
          <w:szCs w:val="15"/>
          <w:u w:val="none"/>
          <w:lang w:val="en-US" w:eastAsia="zh-CN" w:bidi="ar"/>
        </w:rPr>
        <w:t>　　4．定量指标，地方各级主管部门对资金使用单位填写的实际完成值汇总时，绝对值直接累加计算;相对值采用区域或整体统计数据，不能采用区域或整体统计数据的，以区域或项目的资金量为权重进行加权平均计算。。</w:t>
      </w:r>
    </w:p>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黑体" w:hAnsi="宋体" w:eastAsia="黑体" w:cs="黑体"/>
          <w:b w:val="0"/>
          <w:bCs w:val="0"/>
          <w:i w:val="0"/>
          <w:iCs w:val="0"/>
          <w:color w:val="000000"/>
          <w:kern w:val="0"/>
          <w:sz w:val="15"/>
          <w:szCs w:val="15"/>
          <w:u w:val="none"/>
          <w:lang w:val="en-US" w:eastAsia="zh-CN" w:bidi="ar"/>
        </w:rPr>
      </w:pPr>
      <w:r>
        <w:rPr>
          <w:rFonts w:hint="default" w:ascii="黑体" w:hAnsi="宋体" w:eastAsia="黑体" w:cs="黑体"/>
          <w:b w:val="0"/>
          <w:bCs w:val="0"/>
          <w:i w:val="0"/>
          <w:iCs w:val="0"/>
          <w:color w:val="000000"/>
          <w:kern w:val="0"/>
          <w:sz w:val="15"/>
          <w:szCs w:val="15"/>
          <w:u w:val="none"/>
          <w:lang w:val="en-US" w:eastAsia="zh-CN" w:bidi="ar"/>
        </w:rPr>
        <w:t xml:space="preserve">  　5．定性指标，完成情况分为好，较好、一般、较差四挡，资金使用单位分别按照90%（含）-100%、80%（含）-90%、60（含）-80%、0%-60%合理填写实际完成值。主管部门汇总时，以区域或项目的资金量为权重加权平均计算完成值。   </w:t>
      </w:r>
    </w:p>
    <w:p>
      <w:pPr>
        <w:spacing w:line="536" w:lineRule="exact"/>
        <w:rPr>
          <w:sz w:val="36"/>
          <w:szCs w:val="36"/>
        </w:rPr>
      </w:pPr>
    </w:p>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47EA3BC-1603-42F1-9516-5D6F52EA904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45E4F5E4-9B2E-44B8-9C96-63400D8F78B2}"/>
  </w:font>
  <w:font w:name="仿宋">
    <w:panose1 w:val="02010609060101010101"/>
    <w:charset w:val="86"/>
    <w:family w:val="auto"/>
    <w:pitch w:val="default"/>
    <w:sig w:usb0="800002BF" w:usb1="38CF7CFA" w:usb2="00000016" w:usb3="00000000" w:csb0="00040001" w:csb1="00000000"/>
    <w:embedRegular r:id="rId3" w:fontKey="{614D7352-6433-492E-94CD-B4BC29709F7C}"/>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auto"/>
    <w:pitch w:val="default"/>
    <w:sig w:usb0="00000001" w:usb1="08000000" w:usb2="00000000" w:usb3="00000000" w:csb0="00040000" w:csb1="00000000"/>
    <w:embedRegular r:id="rId4" w:fontKey="{74EB58E2-EBB4-4441-92D9-4D699E533EC8}"/>
  </w:font>
  <w:font w:name="仿宋_GB2312">
    <w:altName w:val="仿宋"/>
    <w:panose1 w:val="02010609030101010101"/>
    <w:charset w:val="86"/>
    <w:family w:val="modern"/>
    <w:pitch w:val="default"/>
    <w:sig w:usb0="00000000" w:usb1="00000000" w:usb2="00000000" w:usb3="00000000" w:csb0="00040000" w:csb1="00000000"/>
    <w:embedRegular r:id="rId5" w:fontKey="{2D8A5341-567F-4C04-B384-D14708F8A902}"/>
  </w:font>
  <w:font w:name="楷体_GB2312">
    <w:altName w:val="楷体"/>
    <w:panose1 w:val="02010609030101010101"/>
    <w:charset w:val="86"/>
    <w:family w:val="modern"/>
    <w:pitch w:val="default"/>
    <w:sig w:usb0="00000000" w:usb1="00000000" w:usb2="00000010" w:usb3="00000000" w:csb0="00040000" w:csb1="00000000"/>
    <w:embedRegular r:id="rId6" w:fontKey="{52BD8E90-CF22-46F5-B464-8BE910B57C45}"/>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6D7611"/>
    <w:multiLevelType w:val="singleLevel"/>
    <w:tmpl w:val="0F6D7611"/>
    <w:lvl w:ilvl="0" w:tentative="0">
      <w:start w:val="4"/>
      <w:numFmt w:val="chineseCounting"/>
      <w:suff w:val="nothing"/>
      <w:lvlText w:val="%1、"/>
      <w:lvlJc w:val="left"/>
      <w:rPr>
        <w:rFonts w:hint="eastAsia"/>
      </w:rPr>
    </w:lvl>
  </w:abstractNum>
  <w:abstractNum w:abstractNumId="1">
    <w:nsid w:val="2905BE04"/>
    <w:multiLevelType w:val="singleLevel"/>
    <w:tmpl w:val="2905BE04"/>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lZjUwMjA2MDdiMmU1MmE3YWMyMzA3YjUxYmNhYTEifQ=="/>
  </w:docVars>
  <w:rsids>
    <w:rsidRoot w:val="00072613"/>
    <w:rsid w:val="00072613"/>
    <w:rsid w:val="00553FCB"/>
    <w:rsid w:val="00834978"/>
    <w:rsid w:val="00902506"/>
    <w:rsid w:val="009C3769"/>
    <w:rsid w:val="01287090"/>
    <w:rsid w:val="07C853B7"/>
    <w:rsid w:val="09173EE8"/>
    <w:rsid w:val="1170063A"/>
    <w:rsid w:val="13277912"/>
    <w:rsid w:val="135721B0"/>
    <w:rsid w:val="13D12EE6"/>
    <w:rsid w:val="14A625C4"/>
    <w:rsid w:val="20650D81"/>
    <w:rsid w:val="21BC12D2"/>
    <w:rsid w:val="247C5910"/>
    <w:rsid w:val="24D91ABD"/>
    <w:rsid w:val="25C67AB3"/>
    <w:rsid w:val="291F6B0D"/>
    <w:rsid w:val="29480C68"/>
    <w:rsid w:val="2A343876"/>
    <w:rsid w:val="2B4F4AF9"/>
    <w:rsid w:val="2BC5737C"/>
    <w:rsid w:val="2F4D77DC"/>
    <w:rsid w:val="30520C9F"/>
    <w:rsid w:val="34956851"/>
    <w:rsid w:val="36F71ED8"/>
    <w:rsid w:val="3E390AF3"/>
    <w:rsid w:val="454F1FBC"/>
    <w:rsid w:val="45D72FA6"/>
    <w:rsid w:val="46E33860"/>
    <w:rsid w:val="520408B3"/>
    <w:rsid w:val="582F6BBC"/>
    <w:rsid w:val="71267254"/>
    <w:rsid w:val="719A7010"/>
    <w:rsid w:val="743D40A0"/>
    <w:rsid w:val="7B942EEF"/>
    <w:rsid w:val="7EB22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basedOn w:val="3"/>
    <w:autoRedefine/>
    <w:qFormat/>
    <w:uiPriority w:val="0"/>
    <w:pPr>
      <w:spacing w:after="120" w:line="240" w:lineRule="auto"/>
      <w:ind w:left="420" w:leftChars="200" w:firstLine="420" w:firstLineChars="200"/>
      <w:jc w:val="both"/>
    </w:pPr>
  </w:style>
  <w:style w:type="paragraph" w:customStyle="1" w:styleId="3">
    <w:name w:val="BodyTextIndent"/>
    <w:basedOn w:val="1"/>
    <w:autoRedefine/>
    <w:qFormat/>
    <w:uiPriority w:val="0"/>
    <w:pPr>
      <w:spacing w:after="120" w:line="240" w:lineRule="auto"/>
      <w:ind w:left="420" w:leftChars="200"/>
      <w:jc w:val="both"/>
    </w:pPr>
  </w:style>
  <w:style w:type="paragraph" w:styleId="4">
    <w:name w:val="Body Text"/>
    <w:basedOn w:val="1"/>
    <w:next w:val="5"/>
    <w:autoRedefine/>
    <w:unhideWhenUsed/>
    <w:qFormat/>
    <w:uiPriority w:val="99"/>
    <w:rPr>
      <w:rFonts w:ascii="仿宋" w:hAnsi="仿宋" w:cs="宋体"/>
      <w:sz w:val="28"/>
      <w:szCs w:val="28"/>
    </w:rPr>
  </w:style>
  <w:style w:type="paragraph" w:customStyle="1" w:styleId="5">
    <w:name w:val="Quote"/>
    <w:next w:val="1"/>
    <w:autoRedefine/>
    <w:qFormat/>
    <w:uiPriority w:val="0"/>
    <w:pPr>
      <w:wordWrap w:val="0"/>
      <w:spacing w:before="200" w:after="160"/>
      <w:ind w:left="864" w:right="864"/>
      <w:jc w:val="center"/>
    </w:pPr>
    <w:rPr>
      <w:rFonts w:ascii="Times New Roman" w:hAnsi="Times New Roman" w:eastAsia="宋体" w:cs="Times New Roman"/>
      <w:i/>
      <w:sz w:val="21"/>
      <w:szCs w:val="22"/>
      <w:lang w:val="en-US" w:eastAsia="zh-CN" w:bidi="ar-SA"/>
    </w:rPr>
  </w:style>
  <w:style w:type="paragraph" w:styleId="6">
    <w:name w:val="footer"/>
    <w:basedOn w:val="1"/>
    <w:link w:val="17"/>
    <w:autoRedefine/>
    <w:semiHidden/>
    <w:unhideWhenUsed/>
    <w:qFormat/>
    <w:uiPriority w:val="99"/>
    <w:pPr>
      <w:tabs>
        <w:tab w:val="center" w:pos="4153"/>
        <w:tab w:val="right" w:pos="8306"/>
      </w:tabs>
      <w:snapToGrid w:val="0"/>
      <w:jc w:val="left"/>
    </w:pPr>
    <w:rPr>
      <w:sz w:val="18"/>
      <w:szCs w:val="18"/>
    </w:rPr>
  </w:style>
  <w:style w:type="paragraph" w:styleId="7">
    <w:name w:val="header"/>
    <w:basedOn w:val="1"/>
    <w:link w:val="16"/>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Message Header"/>
    <w:basedOn w:val="1"/>
    <w:autoRedefine/>
    <w:qFormat/>
    <w:uiPriority w:val="0"/>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Arial" w:hAnsi="Arial" w:cs="Arial"/>
      <w:sz w:val="24"/>
      <w:szCs w:val="24"/>
    </w:rPr>
  </w:style>
  <w:style w:type="paragraph" w:styleId="9">
    <w:name w:val="Normal (Web)"/>
    <w:basedOn w:val="1"/>
    <w:autoRedefine/>
    <w:qFormat/>
    <w:uiPriority w:val="0"/>
    <w:pPr>
      <w:widowControl/>
      <w:spacing w:before="100" w:beforeAutospacing="1" w:after="100" w:afterAutospacing="1"/>
      <w:jc w:val="left"/>
    </w:pPr>
    <w:rPr>
      <w:rFonts w:ascii="宋体" w:hAnsi="宋体" w:eastAsia="微软雅黑" w:cs="宋体"/>
      <w:kern w:val="0"/>
      <w:sz w:val="24"/>
    </w:rPr>
  </w:style>
  <w:style w:type="paragraph" w:styleId="10">
    <w:name w:val="Title"/>
    <w:basedOn w:val="1"/>
    <w:next w:val="1"/>
    <w:autoRedefine/>
    <w:qFormat/>
    <w:uiPriority w:val="10"/>
    <w:pPr>
      <w:spacing w:before="240" w:after="60"/>
      <w:jc w:val="left"/>
      <w:outlineLvl w:val="0"/>
    </w:pPr>
    <w:rPr>
      <w:rFonts w:ascii="Cambria" w:hAnsi="Cambria" w:eastAsia="宋体" w:cs="Times New Roman"/>
      <w:b/>
      <w:bCs/>
      <w:sz w:val="28"/>
      <w:szCs w:val="32"/>
    </w:rPr>
  </w:style>
  <w:style w:type="paragraph" w:styleId="11">
    <w:name w:val="Body Text First Indent 2"/>
    <w:basedOn w:val="1"/>
    <w:autoRedefine/>
    <w:qFormat/>
    <w:uiPriority w:val="99"/>
    <w:pPr>
      <w:ind w:left="420" w:leftChars="200" w:firstLine="210"/>
    </w:pPr>
  </w:style>
  <w:style w:type="paragraph" w:customStyle="1" w:styleId="14">
    <w:name w:val="p0"/>
    <w:basedOn w:val="1"/>
    <w:autoRedefine/>
    <w:qFormat/>
    <w:uiPriority w:val="0"/>
    <w:pPr>
      <w:jc w:val="both"/>
    </w:pPr>
    <w:rPr>
      <w:rFonts w:ascii="Calibri" w:hAnsi="Calibri" w:cs="Times New Roman"/>
      <w:sz w:val="21"/>
      <w:szCs w:val="21"/>
    </w:rPr>
  </w:style>
  <w:style w:type="paragraph" w:customStyle="1" w:styleId="15">
    <w:name w:val="无间隔1"/>
    <w:autoRedefine/>
    <w:qFormat/>
    <w:uiPriority w:val="1"/>
    <w:pPr>
      <w:adjustRightInd w:val="0"/>
      <w:snapToGrid w:val="0"/>
    </w:pPr>
    <w:rPr>
      <w:rFonts w:ascii="Tahoma" w:hAnsi="Tahoma" w:eastAsia="微软雅黑" w:cs="Times New Roman"/>
      <w:sz w:val="22"/>
      <w:szCs w:val="22"/>
      <w:lang w:val="en-US" w:eastAsia="zh-CN" w:bidi="ar-SA"/>
    </w:rPr>
  </w:style>
  <w:style w:type="character" w:customStyle="1" w:styleId="16">
    <w:name w:val="页眉 Char"/>
    <w:basedOn w:val="13"/>
    <w:link w:val="7"/>
    <w:autoRedefine/>
    <w:semiHidden/>
    <w:qFormat/>
    <w:uiPriority w:val="99"/>
    <w:rPr>
      <w:sz w:val="18"/>
      <w:szCs w:val="18"/>
    </w:rPr>
  </w:style>
  <w:style w:type="character" w:customStyle="1" w:styleId="17">
    <w:name w:val="页脚 Char"/>
    <w:basedOn w:val="13"/>
    <w:link w:val="6"/>
    <w:autoRedefine/>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6</Pages>
  <Words>2740</Words>
  <Characters>2979</Characters>
  <Lines>3</Lines>
  <Paragraphs>1</Paragraphs>
  <TotalTime>4</TotalTime>
  <ScaleCrop>false</ScaleCrop>
  <LinksUpToDate>false</LinksUpToDate>
  <CharactersWithSpaces>3055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2023-04-07T05:05:00Z</dcterms:created>
  <dc:creator>彭承京</dc:creator>
  <cp:lastModifiedBy>青栀</cp:lastModifiedBy>
  <cp:lastPrinted>2023-04-10T06:24:00Z</cp:lastPrinted>
  <dcterms:modified xsi:type="dcterms:W3CDTF">2024-03-28T03:36:05Z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9C987E0CA1FA4D1589409273AB5F3D54_13</vt:lpwstr>
  </property>
</Properties>
</file>