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6" w:lineRule="exact"/>
        <w:rPr>
          <w:rFonts w:ascii="黑体" w:hAnsi="黑体" w:eastAsia="黑体" w:cs="黑体"/>
          <w:b/>
          <w:sz w:val="32"/>
          <w:szCs w:val="32"/>
        </w:rPr>
      </w:pPr>
      <w:r>
        <w:rPr>
          <w:rFonts w:hint="eastAsia" w:ascii="黑体" w:hAnsi="黑体" w:eastAsia="黑体" w:cs="黑体"/>
          <w:sz w:val="32"/>
          <w:szCs w:val="32"/>
        </w:rPr>
        <w:t>附件2：</w:t>
      </w:r>
    </w:p>
    <w:p>
      <w:pPr>
        <w:spacing w:line="536" w:lineRule="exact"/>
      </w:pPr>
    </w:p>
    <w:p>
      <w:pPr>
        <w:spacing w:line="53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南昌市水利发展资金</w:t>
      </w:r>
    </w:p>
    <w:p>
      <w:pPr>
        <w:spacing w:line="53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2023年中央</w:t>
      </w:r>
      <w:r>
        <w:rPr>
          <w:rFonts w:hint="eastAsia" w:ascii="方正小标宋简体" w:hAnsi="方正小标宋简体" w:eastAsia="方正小标宋简体" w:cs="方正小标宋简体"/>
          <w:bCs/>
          <w:sz w:val="44"/>
          <w:szCs w:val="44"/>
        </w:rPr>
        <w:t>转移支付</w:t>
      </w:r>
      <w:r>
        <w:rPr>
          <w:rFonts w:hint="eastAsia" w:ascii="方正小标宋简体" w:hAnsi="方正小标宋简体" w:eastAsia="方正小标宋简体" w:cs="方正小标宋简体"/>
          <w:bCs/>
          <w:sz w:val="44"/>
          <w:szCs w:val="44"/>
          <w:lang w:val="en-US" w:eastAsia="zh-CN"/>
        </w:rPr>
        <w:t>资金</w:t>
      </w:r>
      <w:r>
        <w:rPr>
          <w:rFonts w:hint="eastAsia" w:ascii="方正小标宋简体" w:hAnsi="方正小标宋简体" w:eastAsia="方正小标宋简体" w:cs="方正小标宋简体"/>
          <w:bCs/>
          <w:sz w:val="44"/>
          <w:szCs w:val="44"/>
        </w:rPr>
        <w:t>绩效自评报告</w:t>
      </w:r>
    </w:p>
    <w:p>
      <w:pPr>
        <w:spacing w:line="536" w:lineRule="exact"/>
        <w:ind w:firstLine="640" w:firstLineChars="200"/>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根据《关于开展2023中央和省级转移支付预算执行情况绩效工作自评的预通知》要求，我局对2023年度中央转移支付资金进行了绩效自评，现将自评情况报告如下: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我局水利发展资金2023年中央转移支付资金全年预算数为9811万元，全年实际到位9811万元，项目资金主要用于</w:t>
      </w:r>
      <w:r>
        <w:rPr>
          <w:rFonts w:hint="default" w:ascii="仿宋_GB2312" w:eastAsia="仿宋_GB2312"/>
          <w:sz w:val="32"/>
          <w:szCs w:val="32"/>
          <w:lang w:val="en-US" w:eastAsia="zh-CN"/>
        </w:rPr>
        <w:t>小型病险水库除险加固、中型灌区节水配套改造、农村饮水程维修养护、水资源管理、节水补助、小型水库工程维修养护、山洪灾害防治措施维修养护</w:t>
      </w:r>
      <w:r>
        <w:rPr>
          <w:rFonts w:hint="eastAsia" w:ascii="仿宋_GB2312" w:eastAsia="仿宋_GB2312"/>
          <w:sz w:val="32"/>
          <w:szCs w:val="32"/>
          <w:lang w:val="en-US" w:eastAsia="zh-CN"/>
        </w:rPr>
        <w:t>、小型水库安全运行、水系连通及水美乡村建设试点县、新建小型水库、农业水价综合改革</w:t>
      </w:r>
      <w:r>
        <w:rPr>
          <w:rFonts w:hint="default" w:ascii="仿宋_GB2312" w:eastAsia="仿宋_GB2312"/>
          <w:sz w:val="32"/>
          <w:szCs w:val="32"/>
          <w:lang w:val="en-US" w:eastAsia="zh-CN"/>
        </w:rPr>
        <w:t>等项目。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1.项目资金到位情况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2023年，经我局申请，南昌市财政局按程序下达中央转移支付资金(</w:t>
      </w:r>
      <w:r>
        <w:rPr>
          <w:rFonts w:hint="eastAsia" w:ascii="仿宋_GB2312" w:eastAsia="仿宋_GB2312"/>
          <w:sz w:val="32"/>
          <w:szCs w:val="32"/>
          <w:lang w:eastAsia="zh-CN"/>
        </w:rPr>
        <w:t>中央水利发展资金</w:t>
      </w:r>
      <w:r>
        <w:rPr>
          <w:rFonts w:hint="eastAsia" w:ascii="仿宋_GB2312" w:eastAsia="仿宋_GB2312"/>
          <w:sz w:val="32"/>
          <w:szCs w:val="32"/>
          <w:lang w:val="en-US" w:eastAsia="zh-CN"/>
        </w:rPr>
        <w:t>)9811万元</w:t>
      </w:r>
      <w:r>
        <w:rPr>
          <w:rFonts w:hint="eastAsia" w:ascii="仿宋_GB2312" w:eastAsia="仿宋_GB2312"/>
          <w:sz w:val="32"/>
          <w:szCs w:val="32"/>
          <w:lang w:eastAsia="zh-CN"/>
        </w:rPr>
        <w:t>，</w:t>
      </w:r>
      <w:r>
        <w:rPr>
          <w:rFonts w:hint="eastAsia" w:ascii="仿宋_GB2312" w:eastAsia="仿宋_GB2312"/>
          <w:sz w:val="32"/>
          <w:szCs w:val="32"/>
          <w:lang w:val="en-US" w:eastAsia="zh-CN"/>
        </w:rPr>
        <w:t>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我局</w:t>
      </w:r>
      <w:r>
        <w:rPr>
          <w:rFonts w:hint="default" w:ascii="仿宋_GB2312" w:eastAsia="仿宋_GB2312"/>
          <w:sz w:val="32"/>
          <w:szCs w:val="32"/>
          <w:lang w:val="en-US" w:eastAsia="zh-CN"/>
        </w:rPr>
        <w:t>严格按照项目实施方案组织实施，足额配套落实自筹资金，</w:t>
      </w:r>
      <w:r>
        <w:rPr>
          <w:rFonts w:hint="eastAsia" w:ascii="仿宋_GB2312" w:eastAsia="仿宋_GB2312"/>
          <w:sz w:val="32"/>
          <w:szCs w:val="32"/>
          <w:lang w:val="en-US" w:eastAsia="zh-CN"/>
        </w:rPr>
        <w:t>2023年</w:t>
      </w:r>
      <w:r>
        <w:rPr>
          <w:rFonts w:hint="eastAsia" w:ascii="仿宋_GB2312" w:eastAsia="仿宋_GB2312"/>
          <w:sz w:val="32"/>
          <w:szCs w:val="32"/>
          <w:lang w:eastAsia="zh-CN"/>
        </w:rPr>
        <w:t>中央水利发展资金</w:t>
      </w:r>
      <w:r>
        <w:rPr>
          <w:rFonts w:hint="eastAsia" w:ascii="仿宋_GB2312" w:eastAsia="仿宋_GB2312"/>
          <w:sz w:val="32"/>
          <w:szCs w:val="32"/>
          <w:lang w:val="en-US" w:eastAsia="zh-CN"/>
        </w:rPr>
        <w:t>9811</w:t>
      </w:r>
      <w:r>
        <w:rPr>
          <w:rFonts w:hint="default" w:ascii="仿宋_GB2312" w:eastAsia="仿宋_GB2312"/>
          <w:sz w:val="32"/>
          <w:szCs w:val="32"/>
          <w:lang w:val="en-US" w:eastAsia="zh-CN"/>
        </w:rPr>
        <w:t>万元已</w:t>
      </w:r>
      <w:r>
        <w:rPr>
          <w:rFonts w:hint="eastAsia" w:ascii="仿宋_GB2312" w:eastAsia="仿宋_GB2312"/>
          <w:sz w:val="32"/>
          <w:szCs w:val="32"/>
          <w:lang w:val="en-US" w:eastAsia="zh-CN"/>
        </w:rPr>
        <w:t>在当年全部</w:t>
      </w:r>
      <w:r>
        <w:rPr>
          <w:rFonts w:hint="default" w:ascii="仿宋_GB2312" w:eastAsia="仿宋_GB2312"/>
          <w:sz w:val="32"/>
          <w:szCs w:val="32"/>
          <w:lang w:val="en-US" w:eastAsia="zh-CN"/>
        </w:rPr>
        <w:t>完成支付，项目资金执行率</w:t>
      </w:r>
      <w:r>
        <w:rPr>
          <w:rFonts w:hint="eastAsia" w:ascii="仿宋_GB2312" w:eastAsia="仿宋_GB2312"/>
          <w:sz w:val="32"/>
          <w:szCs w:val="32"/>
          <w:lang w:val="en-US" w:eastAsia="zh-CN"/>
        </w:rPr>
        <w:t>为</w:t>
      </w:r>
      <w:r>
        <w:rPr>
          <w:rFonts w:hint="default" w:ascii="仿宋_GB2312" w:eastAsia="仿宋_GB2312"/>
          <w:sz w:val="32"/>
          <w:szCs w:val="32"/>
          <w:lang w:val="en-US" w:eastAsia="zh-CN"/>
        </w:rPr>
        <w:t>100%。</w:t>
      </w:r>
    </w:p>
    <w:p>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（二）资金管理情况分析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认真严格按照资金使用管理办法要求，规范和加强专项资金管理，加强绩效目标绩效监控管理，提高财政资金使用绩效，实行专人管理、专账核算、专款专用，对建设项目严格按照计划和建设进度申请拨付和使用资金，严格按照财务管理制度相关规定，坚持履行规范的程序和手续，分期拨付、单据审核、办理报账，确保项目资金使用安全有效、确保了补助资金、财政配套资金和自筹资金运行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rPr>
        <w:t>总体绩效目标完成情况分析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总体来看，我局2023年度的</w:t>
      </w:r>
      <w:r>
        <w:rPr>
          <w:rFonts w:hint="eastAsia" w:ascii="仿宋_GB2312" w:eastAsia="仿宋_GB2312"/>
          <w:sz w:val="32"/>
          <w:szCs w:val="32"/>
          <w:lang w:eastAsia="zh-CN"/>
        </w:rPr>
        <w:t>中央水利发展</w:t>
      </w:r>
      <w:r>
        <w:rPr>
          <w:rFonts w:hint="default" w:ascii="仿宋_GB2312" w:eastAsia="仿宋_GB2312"/>
          <w:sz w:val="32"/>
          <w:szCs w:val="32"/>
          <w:lang w:val="en-US" w:eastAsia="zh-CN"/>
        </w:rPr>
        <w:t>工作</w:t>
      </w:r>
      <w:r>
        <w:rPr>
          <w:rFonts w:hint="eastAsia" w:ascii="仿宋_GB2312" w:eastAsia="仿宋_GB2312"/>
          <w:sz w:val="32"/>
          <w:szCs w:val="32"/>
          <w:lang w:val="en-US" w:eastAsia="zh-CN"/>
        </w:rPr>
        <w:t>完成较好，已圆满完成了</w:t>
      </w:r>
      <w:r>
        <w:rPr>
          <w:rFonts w:hint="default" w:ascii="仿宋_GB2312" w:eastAsia="仿宋_GB2312"/>
          <w:sz w:val="32"/>
          <w:szCs w:val="32"/>
          <w:lang w:val="en-US" w:eastAsia="zh-CN"/>
        </w:rPr>
        <w:t>小型病险水库除险加固、中型灌区节水配套改造、农村饮水程维修养护、水资源管理、节水补助、小型水库工程维修养护、山洪灾害防治措施维修养护</w:t>
      </w:r>
      <w:r>
        <w:rPr>
          <w:rFonts w:hint="eastAsia" w:ascii="仿宋_GB2312" w:eastAsia="仿宋_GB2312"/>
          <w:sz w:val="32"/>
          <w:szCs w:val="32"/>
          <w:lang w:val="en-US" w:eastAsia="zh-CN"/>
        </w:rPr>
        <w:t>、小型水库安全运行、水系连通及水美乡村建设试点县、新建小型水库、农业水价综合改革</w:t>
      </w:r>
      <w:r>
        <w:rPr>
          <w:rFonts w:hint="default" w:ascii="仿宋_GB2312" w:eastAsia="仿宋_GB2312"/>
          <w:sz w:val="32"/>
          <w:szCs w:val="32"/>
          <w:lang w:val="en-US" w:eastAsia="zh-CN"/>
        </w:rPr>
        <w:t>等</w:t>
      </w:r>
      <w:r>
        <w:rPr>
          <w:rFonts w:hint="eastAsia" w:ascii="仿宋_GB2312" w:eastAsia="仿宋_GB2312"/>
          <w:sz w:val="32"/>
          <w:szCs w:val="32"/>
          <w:lang w:val="en-US" w:eastAsia="zh-CN"/>
        </w:rPr>
        <w:t>年度工作，保障了人民群众生活用水平稳及水生态环境安全。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eastAsia="仿宋_GB2312"/>
          <w:b w:val="0"/>
          <w:bCs/>
          <w:sz w:val="32"/>
          <w:szCs w:val="32"/>
        </w:rPr>
      </w:pPr>
      <w:r>
        <w:rPr>
          <w:rFonts w:hint="eastAsia" w:ascii="楷体_GB2312" w:hAnsi="楷体_GB2312" w:eastAsia="楷体_GB2312" w:cs="楷体_GB2312"/>
          <w:b w:val="0"/>
          <w:bCs/>
          <w:sz w:val="32"/>
          <w:szCs w:val="32"/>
        </w:rPr>
        <w:t>（四）绩效指标完成情况分析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完成农业水价综合改革292.87万亩，年度绩效目标完成率为100%；</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完成维修养护农村饮水工程107处，年度绩效目标完成率为100%；</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完成取水在线计量设施70处，年度绩效目标完成率为100%；</w:t>
      </w:r>
      <w:r>
        <w:rPr>
          <w:rFonts w:hint="eastAsia" w:ascii="仿宋_GB2312" w:eastAsia="仿宋_GB2312"/>
          <w:b/>
          <w:bCs/>
          <w:sz w:val="32"/>
          <w:szCs w:val="32"/>
          <w:lang w:val="en-US" w:eastAsia="zh-CN"/>
        </w:rPr>
        <w:t>四是</w:t>
      </w:r>
      <w:r>
        <w:rPr>
          <w:rFonts w:hint="eastAsia" w:ascii="仿宋_GB2312" w:eastAsia="仿宋_GB2312"/>
          <w:sz w:val="32"/>
          <w:szCs w:val="32"/>
          <w:lang w:val="en-US" w:eastAsia="zh-CN"/>
        </w:rPr>
        <w:t>完成维修养护小型水库工程538座，年度绩效目标完成率为100%；</w:t>
      </w:r>
      <w:r>
        <w:rPr>
          <w:rFonts w:hint="eastAsia" w:ascii="仿宋_GB2312" w:eastAsia="仿宋_GB2312"/>
          <w:b/>
          <w:bCs/>
          <w:sz w:val="32"/>
          <w:szCs w:val="32"/>
          <w:lang w:val="en-US" w:eastAsia="zh-CN"/>
        </w:rPr>
        <w:t>五是</w:t>
      </w:r>
      <w:r>
        <w:rPr>
          <w:rFonts w:hint="eastAsia" w:ascii="仿宋_GB2312" w:eastAsia="仿宋_GB2312"/>
          <w:sz w:val="32"/>
          <w:szCs w:val="32"/>
          <w:lang w:val="en-US" w:eastAsia="zh-CN"/>
        </w:rPr>
        <w:t>是完成小型病险水库除险加固5座，年度绩效目标完成率为100%；</w:t>
      </w:r>
      <w:r>
        <w:rPr>
          <w:rFonts w:hint="eastAsia" w:ascii="仿宋_GB2312" w:eastAsia="仿宋_GB2312"/>
          <w:b/>
          <w:bCs/>
          <w:sz w:val="32"/>
          <w:szCs w:val="32"/>
          <w:lang w:val="en-US" w:eastAsia="zh-CN"/>
        </w:rPr>
        <w:t>六是</w:t>
      </w:r>
      <w:r>
        <w:rPr>
          <w:rFonts w:hint="eastAsia" w:ascii="仿宋_GB2312" w:eastAsia="仿宋_GB2312"/>
          <w:sz w:val="32"/>
          <w:szCs w:val="32"/>
          <w:lang w:val="en-US" w:eastAsia="zh-CN"/>
        </w:rPr>
        <w:t>完成山洪灾害防治4个，年度绩效目标完成率为100%；</w:t>
      </w:r>
      <w:r>
        <w:rPr>
          <w:rFonts w:hint="eastAsia" w:ascii="仿宋_GB2312" w:eastAsia="仿宋_GB2312"/>
          <w:b/>
          <w:bCs/>
          <w:sz w:val="32"/>
          <w:szCs w:val="32"/>
          <w:lang w:val="en-US" w:eastAsia="zh-CN"/>
        </w:rPr>
        <w:t>七是</w:t>
      </w:r>
      <w:r>
        <w:rPr>
          <w:rFonts w:hint="eastAsia" w:ascii="仿宋_GB2312" w:eastAsia="仿宋_GB2312"/>
          <w:sz w:val="32"/>
          <w:szCs w:val="32"/>
          <w:lang w:val="en-US" w:eastAsia="zh-CN"/>
        </w:rPr>
        <w:t>完成山洪灾害防治措施维修养护县区4个，年度绩效目标完成率为100%；</w:t>
      </w:r>
      <w:r>
        <w:rPr>
          <w:rFonts w:hint="eastAsia" w:ascii="仿宋_GB2312" w:eastAsia="仿宋_GB2312"/>
          <w:b/>
          <w:bCs/>
          <w:sz w:val="32"/>
          <w:szCs w:val="32"/>
          <w:lang w:val="en-US" w:eastAsia="zh-CN"/>
        </w:rPr>
        <w:t>八是</w:t>
      </w:r>
      <w:r>
        <w:rPr>
          <w:rFonts w:hint="eastAsia" w:ascii="仿宋_GB2312" w:eastAsia="仿宋_GB2312"/>
          <w:sz w:val="32"/>
          <w:szCs w:val="32"/>
          <w:lang w:val="en-US" w:eastAsia="zh-CN"/>
        </w:rPr>
        <w:t>新建小型水库1座，年度绩效目标完成率为100%；</w:t>
      </w:r>
      <w:r>
        <w:rPr>
          <w:rFonts w:hint="eastAsia" w:ascii="仿宋_GB2312" w:eastAsia="仿宋_GB2312"/>
          <w:b/>
          <w:bCs/>
          <w:sz w:val="32"/>
          <w:szCs w:val="32"/>
          <w:lang w:val="en-US" w:eastAsia="zh-CN"/>
        </w:rPr>
        <w:t>九是</w:t>
      </w:r>
      <w:r>
        <w:rPr>
          <w:rFonts w:hint="eastAsia" w:ascii="仿宋_GB2312" w:eastAsia="仿宋_GB2312"/>
          <w:sz w:val="32"/>
          <w:szCs w:val="32"/>
          <w:lang w:val="en-US" w:eastAsia="zh-CN"/>
        </w:rPr>
        <w:t>完成全年节水建设工作，年度绩效目标完成率为100%;</w:t>
      </w:r>
      <w:r>
        <w:rPr>
          <w:rFonts w:hint="eastAsia" w:ascii="仿宋_GB2312" w:eastAsia="仿宋_GB2312"/>
          <w:b/>
          <w:bCs/>
          <w:sz w:val="32"/>
          <w:szCs w:val="32"/>
          <w:lang w:val="en-US" w:eastAsia="zh-CN"/>
        </w:rPr>
        <w:t>十是</w:t>
      </w:r>
      <w:r>
        <w:rPr>
          <w:rFonts w:hint="eastAsia" w:ascii="仿宋_GB2312" w:eastAsia="仿宋_GB2312"/>
          <w:sz w:val="32"/>
          <w:szCs w:val="32"/>
          <w:lang w:val="en-US" w:eastAsia="zh-CN"/>
        </w:rPr>
        <w:t>完成实施水资源管理与保护项目1个，年度绩效目标完成率为100%；</w:t>
      </w:r>
      <w:r>
        <w:rPr>
          <w:rFonts w:hint="eastAsia" w:ascii="仿宋_GB2312" w:eastAsia="仿宋_GB2312"/>
          <w:b/>
          <w:bCs/>
          <w:sz w:val="32"/>
          <w:szCs w:val="32"/>
          <w:lang w:val="en-US" w:eastAsia="zh-CN"/>
        </w:rPr>
        <w:t>十一是</w:t>
      </w:r>
      <w:r>
        <w:rPr>
          <w:rFonts w:hint="eastAsia" w:ascii="仿宋_GB2312" w:eastAsia="仿宋_GB2312"/>
          <w:sz w:val="32"/>
          <w:szCs w:val="32"/>
          <w:lang w:val="en-US" w:eastAsia="zh-CN"/>
        </w:rPr>
        <w:t>实施幸福河湖1条，年度绩效目标完成率为100%。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经评价，2023年度中央水利发展资金的产出数量、产出质量、产出时效等产出指标全部达标。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2.效益指标完成情况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全市水利部门坚决贯彻落实习近平总书记治水重要论述精神，深入践行习近平总书记“节水优先、空间均衡、系统治理、两手发力”治水思路，认真学习贯彻党的二十大精神，扎实落实强省会战略和水利高质量发展战略部署，加快重大水利项目建设，抓好水旱灾害防御、水生态文明建设和水利建设、管理、改革等各项工作，推动新阶段水利高质量发展迈出坚实步伐。</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偏离绩效目标的原因和下一步改进措施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无</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切实加强绩效评价结果的分析和应用，将评价结果作为进一步完善和改进预算绩效管理的重要依据，并将本次绩效评价结果作为下一年度预算申报的重要参考依据。同时进一步加强预算资金管理，保障资金使用安全，提高资金使用效率，完善内部监督和控制制度，保证资金的合法性、安全性以及会计资料的真实性和完整性，确保部门履职履责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我局将在市</w:t>
      </w:r>
      <w:bookmarkStart w:id="0" w:name="_GoBack"/>
      <w:bookmarkEnd w:id="0"/>
      <w:r>
        <w:rPr>
          <w:rFonts w:hint="eastAsia" w:ascii="仿宋_GB2312" w:eastAsia="仿宋_GB2312"/>
          <w:sz w:val="32"/>
          <w:szCs w:val="32"/>
          <w:lang w:val="en-US" w:eastAsia="zh-CN"/>
        </w:rPr>
        <w:t>财政局审核通过后公开2023年度中央转移支付资金绩效自评报告结果，主动接受社会监督。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五、其他需要说明的问题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无。</w:t>
      </w:r>
    </w:p>
    <w:p>
      <w:pPr>
        <w:pStyle w:val="5"/>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bCs/>
          <w:color w:val="FF0000"/>
          <w:sz w:val="32"/>
          <w:szCs w:val="32"/>
          <w:lang w:val="en-US" w:eastAsia="zh-CN"/>
        </w:rPr>
      </w:pPr>
    </w:p>
    <w:p>
      <w:pPr>
        <w:keepNext w:val="0"/>
        <w:keepLines w:val="0"/>
        <w:pageBreakBefore w:val="0"/>
        <w:kinsoku/>
        <w:overflowPunct/>
        <w:topLinePunct w:val="0"/>
        <w:autoSpaceDE/>
        <w:autoSpaceDN/>
        <w:bidi w:val="0"/>
        <w:spacing w:line="560" w:lineRule="exact"/>
        <w:textAlignment w:val="auto"/>
        <w:rPr>
          <w:rFonts w:hint="eastAsia" w:ascii="仿宋" w:hAnsi="仿宋" w:eastAsia="仿宋" w:cs="仿宋"/>
          <w:bCs/>
          <w:color w:val="FF0000"/>
          <w:sz w:val="32"/>
          <w:szCs w:val="32"/>
          <w:lang w:val="en-US" w:eastAsia="zh-CN"/>
        </w:rPr>
      </w:pPr>
    </w:p>
    <w:p>
      <w:pPr>
        <w:pStyle w:val="4"/>
        <w:keepNext w:val="0"/>
        <w:keepLines w:val="0"/>
        <w:pageBreakBefore w:val="0"/>
        <w:kinsoku/>
        <w:overflowPunct/>
        <w:topLinePunct w:val="0"/>
        <w:autoSpaceDE/>
        <w:autoSpaceDN/>
        <w:bidi w:val="0"/>
        <w:spacing w:line="560" w:lineRule="exact"/>
        <w:textAlignment w:val="auto"/>
        <w:rPr>
          <w:rFonts w:hint="eastAsia"/>
          <w:lang w:val="en-US" w:eastAsia="zh-CN"/>
        </w:rPr>
      </w:pPr>
    </w:p>
    <w:p>
      <w:pPr>
        <w:pStyle w:val="5"/>
        <w:keepNext w:val="0"/>
        <w:keepLines w:val="0"/>
        <w:pageBreakBefore w:val="0"/>
        <w:kinsoku/>
        <w:overflowPunct/>
        <w:topLinePunct w:val="0"/>
        <w:autoSpaceDE/>
        <w:autoSpaceDN/>
        <w:bidi w:val="0"/>
        <w:spacing w:line="560" w:lineRule="exact"/>
        <w:textAlignment w:val="auto"/>
        <w:rPr>
          <w:rFonts w:hint="eastAsia"/>
          <w:lang w:val="en-US" w:eastAsia="zh-CN"/>
        </w:rPr>
      </w:pPr>
    </w:p>
    <w:p>
      <w:pPr>
        <w:keepNext w:val="0"/>
        <w:keepLines w:val="0"/>
        <w:pageBreakBefore w:val="0"/>
        <w:kinsoku/>
        <w:overflowPunct/>
        <w:topLinePunct w:val="0"/>
        <w:autoSpaceDE/>
        <w:autoSpaceDN/>
        <w:bidi w:val="0"/>
        <w:spacing w:line="560" w:lineRule="exact"/>
        <w:textAlignment w:val="auto"/>
        <w:rPr>
          <w:rFonts w:hint="eastAsia"/>
          <w:lang w:val="en-US" w:eastAsia="zh-CN"/>
        </w:rPr>
      </w:pPr>
    </w:p>
    <w:p>
      <w:pPr>
        <w:pStyle w:val="2"/>
        <w:keepNext w:val="0"/>
        <w:keepLines w:val="0"/>
        <w:pageBreakBefore w:val="0"/>
        <w:kinsoku/>
        <w:overflowPunct/>
        <w:topLinePunct w:val="0"/>
        <w:autoSpaceDE/>
        <w:autoSpaceDN/>
        <w:bidi w:val="0"/>
        <w:spacing w:line="560" w:lineRule="exact"/>
        <w:textAlignment w:val="auto"/>
        <w:rPr>
          <w:rFonts w:hint="eastAsia"/>
          <w:lang w:val="en-US" w:eastAsia="zh-CN"/>
        </w:rPr>
      </w:pPr>
    </w:p>
    <w:p>
      <w:pPr>
        <w:pStyle w:val="2"/>
        <w:keepNext w:val="0"/>
        <w:keepLines w:val="0"/>
        <w:pageBreakBefore w:val="0"/>
        <w:kinsoku/>
        <w:overflowPunct/>
        <w:topLinePunct w:val="0"/>
        <w:autoSpaceDE/>
        <w:autoSpaceDN/>
        <w:bidi w:val="0"/>
        <w:spacing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auto"/>
          <w:sz w:val="32"/>
          <w:szCs w:val="32"/>
          <w:highlight w:val="none"/>
          <w:lang w:val="en-US" w:eastAsia="zh-CN"/>
        </w:rPr>
        <w:t>南昌市水利局</w:t>
      </w:r>
      <w:r>
        <w:rPr>
          <w:rFonts w:hint="eastAsia" w:ascii="仿宋" w:hAnsi="仿宋" w:eastAsia="仿宋" w:cs="仿宋"/>
          <w:bCs/>
          <w:color w:val="FF0000"/>
          <w:sz w:val="32"/>
          <w:szCs w:val="32"/>
        </w:rPr>
        <w:t xml:space="preserve">       </w:t>
      </w:r>
      <w:r>
        <w:rPr>
          <w:rFonts w:hint="eastAsia" w:ascii="仿宋" w:hAnsi="仿宋" w:eastAsia="仿宋" w:cs="仿宋"/>
          <w:bCs/>
          <w:color w:val="000000"/>
          <w:sz w:val="32"/>
          <w:szCs w:val="32"/>
        </w:rPr>
        <w:t xml:space="preserve">               </w:t>
      </w:r>
      <w:r>
        <w:rPr>
          <w:rFonts w:ascii="仿宋" w:hAnsi="仿宋" w:eastAsia="仿宋" w:cs="仿宋"/>
          <w:bCs/>
          <w:color w:val="000000"/>
          <w:sz w:val="32"/>
          <w:szCs w:val="32"/>
        </w:rPr>
        <w:t xml:space="preserve">           </w:t>
      </w: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32"/>
          <w:szCs w:val="32"/>
        </w:rPr>
      </w:pP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13</w:t>
      </w:r>
      <w:r>
        <w:rPr>
          <w:rFonts w:hint="eastAsia" w:ascii="仿宋" w:hAnsi="仿宋" w:eastAsia="仿宋" w:cs="仿宋"/>
          <w:bCs/>
          <w:color w:val="000000"/>
          <w:sz w:val="32"/>
          <w:szCs w:val="32"/>
        </w:rPr>
        <w:t>日</w:t>
      </w: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48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480" w:lineRule="exact"/>
        <w:textAlignment w:val="auto"/>
        <w:rPr>
          <w:rFonts w:hint="eastAsia" w:ascii="仿宋_GB2312" w:eastAsia="仿宋_GB2312"/>
          <w:sz w:val="32"/>
          <w:szCs w:val="32"/>
          <w:lang w:val="en-US" w:eastAsia="zh-CN"/>
        </w:rPr>
      </w:pPr>
    </w:p>
    <w:p>
      <w:pPr>
        <w:spacing w:line="536" w:lineRule="exact"/>
        <w:rPr>
          <w:rFonts w:hint="eastAsia" w:ascii="黑体" w:hAnsi="黑体" w:eastAsia="黑体" w:cs="黑体"/>
          <w:bCs/>
          <w:color w:val="000000"/>
          <w:spacing w:val="40"/>
          <w:sz w:val="36"/>
          <w:szCs w:val="36"/>
          <w:lang w:val="en-US" w:eastAsia="zh-CN"/>
        </w:rPr>
      </w:pPr>
      <w:r>
        <w:rPr>
          <w:rFonts w:hint="eastAsia" w:ascii="黑体" w:hAnsi="黑体" w:eastAsia="黑体" w:cs="黑体"/>
          <w:bCs/>
          <w:sz w:val="32"/>
          <w:szCs w:val="32"/>
        </w:rPr>
        <w:t>六、附件</w:t>
      </w:r>
    </w:p>
    <w:p>
      <w:pPr>
        <w:jc w:val="center"/>
        <w:rPr>
          <w:rFonts w:hint="eastAsia" w:ascii="黑体" w:hAnsi="黑体" w:eastAsia="黑体" w:cs="黑体"/>
          <w:bCs/>
          <w:color w:val="000000"/>
          <w:sz w:val="36"/>
          <w:szCs w:val="36"/>
          <w:lang w:val="en-US" w:eastAsia="zh-CN"/>
        </w:rPr>
      </w:pPr>
      <w:r>
        <w:rPr>
          <w:rFonts w:hint="eastAsia" w:ascii="黑体" w:hAnsi="黑体" w:eastAsia="黑体" w:cs="黑体"/>
          <w:bCs/>
          <w:color w:val="000000"/>
          <w:spacing w:val="40"/>
          <w:sz w:val="36"/>
          <w:szCs w:val="36"/>
          <w:lang w:eastAsia="zh-CN"/>
        </w:rPr>
        <w:t>中央</w:t>
      </w:r>
      <w:r>
        <w:rPr>
          <w:rFonts w:hint="eastAsia" w:ascii="黑体" w:hAnsi="黑体" w:eastAsia="黑体" w:cs="黑体"/>
          <w:bCs/>
          <w:color w:val="000000"/>
          <w:spacing w:val="40"/>
          <w:sz w:val="36"/>
          <w:szCs w:val="36"/>
        </w:rPr>
        <w:t xml:space="preserve">转移支付区域（项目）绩效目标自评表 </w:t>
      </w:r>
    </w:p>
    <w:tbl>
      <w:tblPr>
        <w:tblStyle w:val="12"/>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396"/>
        <w:gridCol w:w="247"/>
        <w:gridCol w:w="692"/>
        <w:gridCol w:w="638"/>
        <w:gridCol w:w="320"/>
        <w:gridCol w:w="1523"/>
        <w:gridCol w:w="623"/>
        <w:gridCol w:w="758"/>
        <w:gridCol w:w="150"/>
        <w:gridCol w:w="292"/>
        <w:gridCol w:w="939"/>
        <w:gridCol w:w="301"/>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2847" w:type="dxa"/>
            <w:gridSpan w:val="6"/>
            <w:shd w:val="clear" w:color="auto" w:fill="FFFFFF"/>
            <w:noWrap w:val="0"/>
            <w:vAlign w:val="center"/>
          </w:tcPr>
          <w:p>
            <w:pPr>
              <w:keepNext w:val="0"/>
              <w:keepLines w:val="0"/>
              <w:widowControl/>
              <w:suppressLineNumbers w:val="0"/>
              <w:spacing w:line="36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转移支付（项目）名称</w:t>
            </w:r>
          </w:p>
        </w:tc>
        <w:tc>
          <w:tcPr>
            <w:tcW w:w="6199" w:type="dxa"/>
            <w:gridSpan w:val="8"/>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Cs/>
                <w:color w:val="000000"/>
                <w:kern w:val="0"/>
                <w:sz w:val="18"/>
                <w:szCs w:val="18"/>
                <w:highlight w:val="none"/>
                <w:lang w:eastAsia="zh-CN"/>
              </w:rPr>
            </w:pPr>
            <w:r>
              <w:rPr>
                <w:rFonts w:hint="eastAsia" w:ascii="黑体" w:hAnsi="黑体" w:eastAsia="黑体" w:cs="黑体"/>
                <w:bCs/>
                <w:color w:val="000000"/>
                <w:kern w:val="0"/>
                <w:sz w:val="18"/>
                <w:szCs w:val="18"/>
                <w:highlight w:val="none"/>
                <w:lang w:eastAsia="zh-CN"/>
              </w:rPr>
              <w:t>中央水利发展资金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2847" w:type="dxa"/>
            <w:gridSpan w:val="6"/>
            <w:shd w:val="clear" w:color="auto" w:fill="FFFFFF"/>
            <w:noWrap w:val="0"/>
            <w:vAlign w:val="center"/>
          </w:tcPr>
          <w:p>
            <w:pPr>
              <w:keepNext w:val="0"/>
              <w:keepLines w:val="0"/>
              <w:widowControl/>
              <w:suppressLineNumbers w:val="0"/>
              <w:spacing w:line="24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中央主管部门</w:t>
            </w:r>
          </w:p>
        </w:tc>
        <w:tc>
          <w:tcPr>
            <w:tcW w:w="6199" w:type="dxa"/>
            <w:gridSpan w:val="8"/>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1889"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地方主管部门</w:t>
            </w:r>
          </w:p>
        </w:tc>
        <w:tc>
          <w:tcPr>
            <w:tcW w:w="24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c>
          <w:tcPr>
            <w:tcW w:w="153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资金使用单位</w:t>
            </w:r>
          </w:p>
        </w:tc>
        <w:tc>
          <w:tcPr>
            <w:tcW w:w="3145"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6"/>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资金投入情况</w:t>
            </w:r>
          </w:p>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（万元）</w:t>
            </w: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8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全年预算数（A）</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全年执行数（B）</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预算执行率（B/A*100%)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年度资金总额：</w:t>
            </w:r>
          </w:p>
        </w:tc>
        <w:tc>
          <w:tcPr>
            <w:tcW w:w="138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9811.00</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9811.00</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其中：中央财政资金</w:t>
            </w:r>
          </w:p>
        </w:tc>
        <w:tc>
          <w:tcPr>
            <w:tcW w:w="138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9811.00</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9811.00</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地方资金</w:t>
            </w:r>
          </w:p>
        </w:tc>
        <w:tc>
          <w:tcPr>
            <w:tcW w:w="138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其他资金</w:t>
            </w:r>
          </w:p>
        </w:tc>
        <w:tc>
          <w:tcPr>
            <w:tcW w:w="138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资金管理情况</w:t>
            </w: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情况说明</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存在问题和改进措施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分配科学性</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按照转移支付管理制度以及资金管理办法规定的范围对中央水利发展资金进行分配资金。</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下达及时性</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严格按照规定时间及时下达完成。</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拨付合规性</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未出现违规将资金从国库转入财政专户或支付到预算单位实有资金账户等问题。</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使用规范性</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用于保障人民用水平稳，未出现截留、挤占、挪用或擅自调整等问题，完成率100%。</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执行准确性</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执行数100%，没有偏离预算数。</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预算绩效管理情况</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根据绩效管理办法，我局严格按照要求对所有转移支付资金进行入库，监控，及自评，实现资金绩效管理过程全覆盖。</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支出责任履行情况</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在资金拨付、监管等方面，我局均严格按照项目资金管理办法，严格执行财务管理制度，财务处理及时、会计核算规范。</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95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总体目标完成情况</w:t>
            </w:r>
          </w:p>
        </w:tc>
        <w:tc>
          <w:tcPr>
            <w:tcW w:w="3420"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w:t>
            </w:r>
          </w:p>
        </w:tc>
        <w:tc>
          <w:tcPr>
            <w:tcW w:w="4676" w:type="dxa"/>
            <w:gridSpan w:val="7"/>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95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3420"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确保我市中央水利发展资金及时发放到位，保障人民群众生命财产安全及人民群众生活用水平稳，保护水生态环境安全</w:t>
            </w:r>
          </w:p>
        </w:tc>
        <w:tc>
          <w:tcPr>
            <w:tcW w:w="4676" w:type="dxa"/>
            <w:gridSpan w:val="7"/>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中央水利发展资金已及时发放，保障了人民群众生活用水平稳及水生态环境安全。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554"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绩效指标</w:t>
            </w:r>
          </w:p>
        </w:tc>
        <w:tc>
          <w:tcPr>
            <w:tcW w:w="64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一级指标</w:t>
            </w:r>
          </w:p>
        </w:tc>
        <w:tc>
          <w:tcPr>
            <w:tcW w:w="1330"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二级指标</w:t>
            </w:r>
          </w:p>
        </w:tc>
        <w:tc>
          <w:tcPr>
            <w:tcW w:w="2466" w:type="dxa"/>
            <w:gridSpan w:val="3"/>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三级指标</w:t>
            </w:r>
          </w:p>
        </w:tc>
        <w:tc>
          <w:tcPr>
            <w:tcW w:w="1200" w:type="dxa"/>
            <w:gridSpan w:val="3"/>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指标值</w:t>
            </w:r>
          </w:p>
        </w:tc>
        <w:tc>
          <w:tcPr>
            <w:tcW w:w="1240"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全年实际</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完成值</w:t>
            </w:r>
          </w:p>
        </w:tc>
        <w:tc>
          <w:tcPr>
            <w:tcW w:w="161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未完成原因和</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标</w:t>
            </w: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数量指标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农业水价综合改革</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292.87万亩</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292.87万亩</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农村饮水工程维修养护</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处数</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107处</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107处</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取水在线计量设施数量</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70个</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70个</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小型水库工程维修养护数</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538座</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538座</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小型病险水库除险加固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数量</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5座</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5座</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山洪灾害防治县</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4个</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4个</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山洪灾害防治措施维修</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养护数</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4县</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4县</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新建小型水库数</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1座</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1座</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节水建设工作完成率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实施水资源管理与保护</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项目数</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1个</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1个</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实施幸福河湖数</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1条</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1条</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质量指标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农业水价综合改革达标率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农村饮水工程维修养护</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达标率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取水在线计量设施达标率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小型水库工程维修养护</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达标率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小型病险水库除险加固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合格率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山洪灾害防治合格率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山洪灾害防治措施维修</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养护达标率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新建小型水库达标率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截至2024年6月底完工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项目初步验收率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工程验收合格率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已建工程是否存在质量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问题</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否</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否</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时效指标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各项工作完成及时率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截至2023年底投资完成</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比例</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≥80%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成本指标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成本控制率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效</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标</w:t>
            </w: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经济效益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取水量在线计量率提高</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比例</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社会效益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保障人民群众生活用水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安全</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农村饮水工程收益人数</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33万人</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33万人</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实现水资源可持续利用率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提升经济社会持续健康发展率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山洪灾害防治保护</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人口数量</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≥2万人</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2万人</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农村饮水工程维修养护</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覆盖服务人口</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≥10万人</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10万人</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其他水利工程设施维修</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养护覆盖服务人口</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≥6.3万人</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6.3万人</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生态效益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无</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可持续影响</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无</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满意度</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服务对象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满意度指标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受益群众满意度</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≥95%</w:t>
            </w:r>
          </w:p>
        </w:tc>
        <w:tc>
          <w:tcPr>
            <w:tcW w:w="124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95%</w:t>
            </w:r>
          </w:p>
        </w:tc>
        <w:tc>
          <w:tcPr>
            <w:tcW w:w="161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55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说明</w:t>
            </w:r>
          </w:p>
        </w:tc>
        <w:tc>
          <w:tcPr>
            <w:tcW w:w="8492" w:type="dxa"/>
            <w:gridSpan w:val="13"/>
            <w:shd w:val="clear" w:color="auto" w:fill="FFFFFF"/>
            <w:noWrap w:val="0"/>
            <w:vAlign w:val="center"/>
          </w:tcPr>
          <w:p>
            <w:pPr>
              <w:keepNext w:val="0"/>
              <w:keepLines w:val="0"/>
              <w:pageBreakBefore w:val="0"/>
              <w:widowControl/>
              <w:tabs>
                <w:tab w:val="left" w:pos="438"/>
              </w:tabs>
              <w:kinsoku/>
              <w:wordWrap/>
              <w:overflowPunct/>
              <w:topLinePunct w:val="0"/>
              <w:autoSpaceDE/>
              <w:autoSpaceDN/>
              <w:bidi w:val="0"/>
              <w:adjustRightInd/>
              <w:snapToGrid/>
              <w:spacing w:line="240" w:lineRule="auto"/>
              <w:jc w:val="left"/>
              <w:textAlignment w:val="auto"/>
              <w:rPr>
                <w:rFonts w:hint="default"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无</w:t>
            </w:r>
            <w:r>
              <w:rPr>
                <w:rFonts w:hint="eastAsia" w:ascii="黑体" w:hAnsi="宋体" w:eastAsia="黑体" w:cs="黑体"/>
                <w:i w:val="0"/>
                <w:iCs w:val="0"/>
                <w:color w:val="000000"/>
                <w:kern w:val="0"/>
                <w:sz w:val="13"/>
                <w:szCs w:val="13"/>
                <w:u w:val="none"/>
                <w:lang w:val="en-US" w:eastAsia="zh-CN" w:bidi="ar"/>
              </w:rPr>
              <w:tab/>
            </w:r>
          </w:p>
        </w:tc>
      </w:tr>
    </w:tbl>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注：1．资金使用单位按项目绩效目标填报，主管部门汇总时按区域绩效目标填报。</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2. 其他资金包括与中央财政资金、地方财政资金共同投入到同一项目的自有资金、社会资金，以及以前年度的结转结余资金等。</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3. 全年执行数是指按照国库集中支付制度要求所形成的实际支出。</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4．定量指标，地方各级主管部门对资金使用单位填写的实际完成值汇总时，绝对值直接累加计算;相对值采用区域或整体统计数据，不能采用区域或整体统计数据的，以区域或项目的资金量为权重进行加权平均计算。。</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5．定性指标，完成情况分为好，较好、一般、较差四挡，资金使用单位分别按照90%（含）-100%、80%（含）-90%、60（含）-80%、0%-60%合理填写实际完成值。主管部门汇总时，以区域或项目的资金量为权重加权平均计算完成值。   </w:t>
      </w:r>
    </w:p>
    <w:p>
      <w:pPr>
        <w:spacing w:line="536" w:lineRule="exact"/>
        <w:rPr>
          <w:sz w:val="36"/>
          <w:szCs w:val="36"/>
        </w:rPr>
      </w:pP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D7611"/>
    <w:multiLevelType w:val="singleLevel"/>
    <w:tmpl w:val="0F6D7611"/>
    <w:lvl w:ilvl="0" w:tentative="0">
      <w:start w:val="4"/>
      <w:numFmt w:val="chineseCounting"/>
      <w:suff w:val="nothing"/>
      <w:lvlText w:val="%1、"/>
      <w:lvlJc w:val="left"/>
      <w:rPr>
        <w:rFonts w:hint="eastAsia"/>
      </w:rPr>
    </w:lvl>
  </w:abstractNum>
  <w:abstractNum w:abstractNumId="1">
    <w:nsid w:val="2905BE04"/>
    <w:multiLevelType w:val="singleLevel"/>
    <w:tmpl w:val="2905BE0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ZDdlMDExYWE5NTYyYzljNWQwODE4NzVlZjRmMDUifQ=="/>
  </w:docVars>
  <w:rsids>
    <w:rsidRoot w:val="00072613"/>
    <w:rsid w:val="00072613"/>
    <w:rsid w:val="00553FCB"/>
    <w:rsid w:val="00834978"/>
    <w:rsid w:val="00902506"/>
    <w:rsid w:val="009C3769"/>
    <w:rsid w:val="01287090"/>
    <w:rsid w:val="046F6DEA"/>
    <w:rsid w:val="07C853B7"/>
    <w:rsid w:val="09173EE8"/>
    <w:rsid w:val="0B1D50BA"/>
    <w:rsid w:val="13277912"/>
    <w:rsid w:val="13D12EE6"/>
    <w:rsid w:val="14A625C4"/>
    <w:rsid w:val="17F075FC"/>
    <w:rsid w:val="25C67AB3"/>
    <w:rsid w:val="29480C68"/>
    <w:rsid w:val="30520C9F"/>
    <w:rsid w:val="34956851"/>
    <w:rsid w:val="3E390AF3"/>
    <w:rsid w:val="454F1FBC"/>
    <w:rsid w:val="46E33860"/>
    <w:rsid w:val="6E204547"/>
    <w:rsid w:val="75643593"/>
    <w:rsid w:val="77E22B82"/>
    <w:rsid w:val="7EB22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pPr>
  </w:style>
  <w:style w:type="paragraph" w:customStyle="1" w:styleId="3">
    <w:name w:val="BodyTextIndent"/>
    <w:basedOn w:val="1"/>
    <w:qFormat/>
    <w:uiPriority w:val="0"/>
    <w:pPr>
      <w:spacing w:after="120" w:line="240" w:lineRule="auto"/>
      <w:ind w:left="420" w:leftChars="200"/>
      <w:jc w:val="both"/>
    </w:pPr>
  </w:style>
  <w:style w:type="paragraph" w:styleId="4">
    <w:name w:val="Body Text"/>
    <w:basedOn w:val="1"/>
    <w:next w:val="5"/>
    <w:unhideWhenUsed/>
    <w:qFormat/>
    <w:uiPriority w:val="99"/>
    <w:rPr>
      <w:rFonts w:ascii="仿宋" w:hAnsi="仿宋" w:cs="宋体"/>
      <w:sz w:val="28"/>
      <w:szCs w:val="28"/>
    </w:rPr>
  </w:style>
  <w:style w:type="paragraph" w:customStyle="1" w:styleId="5">
    <w:name w:val="Quote"/>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9">
    <w:name w:val="Normal (Web)"/>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styleId="10">
    <w:name w:val="Title"/>
    <w:basedOn w:val="1"/>
    <w:next w:val="1"/>
    <w:autoRedefine/>
    <w:qFormat/>
    <w:uiPriority w:val="10"/>
    <w:pPr>
      <w:spacing w:before="240" w:after="60"/>
      <w:jc w:val="left"/>
      <w:outlineLvl w:val="0"/>
    </w:pPr>
    <w:rPr>
      <w:rFonts w:ascii="Cambria" w:hAnsi="Cambria" w:eastAsia="宋体" w:cs="Times New Roman"/>
      <w:b/>
      <w:bCs/>
      <w:sz w:val="28"/>
      <w:szCs w:val="32"/>
    </w:rPr>
  </w:style>
  <w:style w:type="paragraph" w:styleId="11">
    <w:name w:val="Body Text First Indent 2"/>
    <w:basedOn w:val="1"/>
    <w:qFormat/>
    <w:uiPriority w:val="99"/>
    <w:pPr>
      <w:ind w:left="420" w:leftChars="200" w:firstLine="210"/>
    </w:pPr>
  </w:style>
  <w:style w:type="paragraph" w:customStyle="1" w:styleId="14">
    <w:name w:val="p0"/>
    <w:basedOn w:val="1"/>
    <w:autoRedefine/>
    <w:qFormat/>
    <w:uiPriority w:val="0"/>
    <w:pPr>
      <w:jc w:val="both"/>
    </w:pPr>
    <w:rPr>
      <w:rFonts w:ascii="Calibri" w:hAnsi="Calibri" w:cs="Times New Roman"/>
      <w:sz w:val="21"/>
      <w:szCs w:val="21"/>
    </w:rPr>
  </w:style>
  <w:style w:type="paragraph" w:customStyle="1" w:styleId="15">
    <w:name w:val="无间隔1"/>
    <w:qFormat/>
    <w:uiPriority w:val="1"/>
    <w:pPr>
      <w:adjustRightInd w:val="0"/>
      <w:snapToGrid w:val="0"/>
    </w:pPr>
    <w:rPr>
      <w:rFonts w:ascii="Tahoma" w:hAnsi="Tahoma" w:eastAsia="微软雅黑" w:cs="Times New Roman"/>
      <w:sz w:val="22"/>
      <w:szCs w:val="22"/>
      <w:lang w:val="en-US" w:eastAsia="zh-CN" w:bidi="ar-SA"/>
    </w:rPr>
  </w:style>
  <w:style w:type="character" w:customStyle="1" w:styleId="16">
    <w:name w:val="页眉 Char"/>
    <w:basedOn w:val="13"/>
    <w:link w:val="7"/>
    <w:autoRedefine/>
    <w:semiHidden/>
    <w:qFormat/>
    <w:uiPriority w:val="99"/>
    <w:rPr>
      <w:sz w:val="18"/>
      <w:szCs w:val="18"/>
    </w:rPr>
  </w:style>
  <w:style w:type="character" w:customStyle="1" w:styleId="17">
    <w:name w:val="页脚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2744</Words>
  <Characters>2997</Characters>
  <Lines>3</Lines>
  <Paragraphs>1</Paragraphs>
  <TotalTime>4</TotalTime>
  <ScaleCrop>false</ScaleCrop>
  <LinksUpToDate>false</LinksUpToDate>
  <CharactersWithSpaces>3073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2023-04-07T05:05:00Z</dcterms:created>
  <dc:creator>彭承京</dc:creator>
  <cp:lastModifiedBy>万峰</cp:lastModifiedBy>
  <cp:lastPrinted>2023-04-10T06:24:00Z</cp:lastPrinted>
  <dcterms:modified xsi:type="dcterms:W3CDTF">2024-03-15T03:45:31Z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13D4333B9D744A1D896AE7D711268B59_13</vt:lpwstr>
  </property>
</Properties>
</file>