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ascii="黑体" w:hAnsi="黑体" w:eastAsia="黑体" w:cs="黑体"/>
          <w:b/>
          <w:sz w:val="32"/>
          <w:szCs w:val="32"/>
        </w:rPr>
      </w:pPr>
      <w:r>
        <w:rPr>
          <w:rFonts w:hint="eastAsia" w:ascii="黑体" w:hAnsi="黑体" w:eastAsia="黑体" w:cs="黑体"/>
          <w:sz w:val="32"/>
          <w:szCs w:val="32"/>
        </w:rPr>
        <w:t>附件2：</w:t>
      </w:r>
    </w:p>
    <w:p>
      <w:pPr>
        <w:spacing w:line="536" w:lineRule="exact"/>
      </w:pPr>
    </w:p>
    <w:p>
      <w:pPr>
        <w:spacing w:line="53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大中型水库移民后期扶持资金和基金预算</w:t>
      </w:r>
    </w:p>
    <w:p>
      <w:pPr>
        <w:spacing w:line="53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2023年中央</w:t>
      </w:r>
      <w:r>
        <w:rPr>
          <w:rFonts w:hint="eastAsia" w:ascii="方正小标宋简体" w:hAnsi="方正小标宋简体" w:eastAsia="方正小标宋简体" w:cs="方正小标宋简体"/>
          <w:bCs/>
          <w:sz w:val="44"/>
          <w:szCs w:val="44"/>
        </w:rPr>
        <w:t>转移支付</w:t>
      </w:r>
      <w:r>
        <w:rPr>
          <w:rFonts w:hint="eastAsia" w:ascii="方正小标宋简体" w:hAnsi="方正小标宋简体" w:eastAsia="方正小标宋简体" w:cs="方正小标宋简体"/>
          <w:bCs/>
          <w:sz w:val="44"/>
          <w:szCs w:val="44"/>
          <w:lang w:val="en-US" w:eastAsia="zh-CN"/>
        </w:rPr>
        <w:t>资金</w:t>
      </w:r>
      <w:r>
        <w:rPr>
          <w:rFonts w:hint="eastAsia" w:ascii="方正小标宋简体" w:hAnsi="方正小标宋简体" w:eastAsia="方正小标宋简体" w:cs="方正小标宋简体"/>
          <w:bCs/>
          <w:sz w:val="44"/>
          <w:szCs w:val="44"/>
        </w:rPr>
        <w:t>绩效自评报告</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根据《关于开展2023中央和省级转移支付预算执行情况绩效工作自评的预通知》要求，我局对2023年度中央转移支付资金进行了绩效自评，现将自评情况报告如下: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我局大中型水库移民后期扶持资金和基金预算2023年中央转移支付资金全年预算数为4084万元，全年实际到位4084万元，项目资金主要用于</w:t>
      </w:r>
      <w:r>
        <w:rPr>
          <w:rFonts w:hint="default" w:ascii="仿宋_GB2312" w:eastAsia="仿宋_GB2312"/>
          <w:sz w:val="32"/>
          <w:szCs w:val="32"/>
          <w:lang w:val="en-US" w:eastAsia="zh-CN"/>
        </w:rPr>
        <w:t>全力推进贫困移民解困，大力发展移民增收项目，增加移民人均收入。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1.项目资金到位情况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2023年，经我局申请，南昌市财政局按程序下达中央转移支付资金（</w:t>
      </w:r>
      <w:r>
        <w:rPr>
          <w:rFonts w:hint="eastAsia" w:ascii="仿宋_GB2312" w:eastAsia="仿宋_GB2312"/>
          <w:sz w:val="32"/>
          <w:szCs w:val="32"/>
          <w:lang w:eastAsia="zh-CN"/>
        </w:rPr>
        <w:t>大中型水库移民后期扶持资金和基金预算），</w:t>
      </w:r>
      <w:r>
        <w:rPr>
          <w:rFonts w:hint="eastAsia" w:ascii="仿宋_GB2312" w:eastAsia="仿宋_GB2312"/>
          <w:sz w:val="32"/>
          <w:szCs w:val="32"/>
          <w:lang w:val="en-US" w:eastAsia="zh-CN"/>
        </w:rPr>
        <w:t>资金到位率为100%。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我局</w:t>
      </w:r>
      <w:r>
        <w:rPr>
          <w:rFonts w:hint="default" w:ascii="仿宋_GB2312" w:eastAsia="仿宋_GB2312"/>
          <w:sz w:val="32"/>
          <w:szCs w:val="32"/>
          <w:lang w:val="en-US" w:eastAsia="zh-CN"/>
        </w:rPr>
        <w:t>严格按照项目实施方案组织实施，足额配套落实自筹资金，</w:t>
      </w:r>
      <w:r>
        <w:rPr>
          <w:rFonts w:hint="eastAsia" w:ascii="仿宋_GB2312" w:eastAsia="仿宋_GB2312"/>
          <w:sz w:val="32"/>
          <w:szCs w:val="32"/>
          <w:lang w:eastAsia="zh-CN"/>
        </w:rPr>
        <w:t>大中型水库移民后期扶持资金和基金预算</w:t>
      </w:r>
      <w:r>
        <w:rPr>
          <w:rFonts w:hint="eastAsia" w:ascii="仿宋_GB2312" w:eastAsia="仿宋_GB2312"/>
          <w:sz w:val="32"/>
          <w:szCs w:val="32"/>
          <w:lang w:val="en-US" w:eastAsia="zh-CN"/>
        </w:rPr>
        <w:t>4081.03</w:t>
      </w:r>
      <w:r>
        <w:rPr>
          <w:rFonts w:hint="default" w:ascii="仿宋_GB2312" w:eastAsia="仿宋_GB2312"/>
          <w:sz w:val="32"/>
          <w:szCs w:val="32"/>
          <w:lang w:val="en-US" w:eastAsia="zh-CN"/>
        </w:rPr>
        <w:t>万元</w:t>
      </w:r>
      <w:r>
        <w:rPr>
          <w:rFonts w:hint="eastAsia" w:ascii="仿宋_GB2312" w:eastAsia="仿宋_GB2312"/>
          <w:sz w:val="32"/>
          <w:szCs w:val="32"/>
          <w:lang w:val="en-US" w:eastAsia="zh-CN"/>
        </w:rPr>
        <w:t>在2023年</w:t>
      </w:r>
      <w:r>
        <w:rPr>
          <w:rFonts w:hint="default" w:ascii="仿宋_GB2312" w:eastAsia="仿宋_GB2312"/>
          <w:sz w:val="32"/>
          <w:szCs w:val="32"/>
          <w:lang w:val="en-US" w:eastAsia="zh-CN"/>
        </w:rPr>
        <w:t>已完成支付，项目资金执行率</w:t>
      </w:r>
      <w:r>
        <w:rPr>
          <w:rFonts w:hint="eastAsia" w:ascii="仿宋_GB2312" w:eastAsia="仿宋_GB2312"/>
          <w:sz w:val="32"/>
          <w:szCs w:val="32"/>
          <w:lang w:val="en-US" w:eastAsia="zh-CN"/>
        </w:rPr>
        <w:t>为99.94</w:t>
      </w:r>
      <w:r>
        <w:rPr>
          <w:rFonts w:hint="default"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认真严格按照资金使用管理办法要求，规范和加强专项资金管理，加强绩效目标绩效监控管理，提高财政资金使用绩效，实行专人管理、专账核算、专款专用，对建设项目严格按照计划和建设进度申请拨付和使用资金，严格按照财务管理制度相关规定，坚持履行规范的程序和手续，分期拨付、单据审核、办理报账，确保项目资金使用安全有效、确保了补助资金、财政配套资金和自筹资金运行安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总体来看，我局2023年的</w:t>
      </w:r>
      <w:r>
        <w:rPr>
          <w:rFonts w:hint="eastAsia" w:ascii="仿宋_GB2312" w:eastAsia="仿宋_GB2312"/>
          <w:sz w:val="32"/>
          <w:szCs w:val="32"/>
          <w:lang w:eastAsia="zh-CN"/>
        </w:rPr>
        <w:t>大中型水库移民扶持</w:t>
      </w:r>
      <w:r>
        <w:rPr>
          <w:rFonts w:hint="default" w:ascii="仿宋_GB2312" w:eastAsia="仿宋_GB2312"/>
          <w:sz w:val="32"/>
          <w:szCs w:val="32"/>
          <w:lang w:val="en-US" w:eastAsia="zh-CN"/>
        </w:rPr>
        <w:t>工作</w:t>
      </w:r>
      <w:r>
        <w:rPr>
          <w:rFonts w:hint="eastAsia" w:ascii="仿宋_GB2312" w:eastAsia="仿宋_GB2312"/>
          <w:sz w:val="32"/>
          <w:szCs w:val="32"/>
          <w:lang w:val="en-US" w:eastAsia="zh-CN"/>
        </w:rPr>
        <w:t>完成较好，各项绩效目标全部完成并达标。通过</w:t>
      </w:r>
      <w:r>
        <w:rPr>
          <w:rFonts w:hint="default" w:ascii="仿宋_GB2312" w:eastAsia="仿宋_GB2312"/>
          <w:sz w:val="32"/>
          <w:szCs w:val="32"/>
          <w:lang w:val="en-US" w:eastAsia="zh-CN"/>
        </w:rPr>
        <w:t>移民增收项目</w:t>
      </w:r>
      <w:r>
        <w:rPr>
          <w:rFonts w:hint="eastAsia" w:ascii="仿宋_GB2312" w:eastAsia="仿宋_GB2312"/>
          <w:sz w:val="32"/>
          <w:szCs w:val="32"/>
          <w:lang w:val="en-US" w:eastAsia="zh-CN"/>
        </w:rPr>
        <w:t>的实施，移民与当地农村居民平均水平差距持续缩小，保障了库区和移民安置区的和谐稳定及群众生活用水平稳。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b w:val="0"/>
          <w:bCs/>
          <w:sz w:val="32"/>
          <w:szCs w:val="32"/>
        </w:rPr>
      </w:pPr>
      <w:r>
        <w:rPr>
          <w:rFonts w:hint="eastAsia" w:ascii="楷体_GB2312" w:hAnsi="楷体_GB2312" w:eastAsia="楷体_GB2312" w:cs="楷体_GB2312"/>
          <w:b w:val="0"/>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完成重点帮扶乡村振兴村水库移民村组37组，年度绩效目标完成率为100%；</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大中型水库后期扶持人数达到32082人，年度绩效目标完成率为100%；</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完成全年山塘整治291个，年度绩效目标完成率为100%；</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移民补助后期扶持人数达到32082人，年度绩效目标完成率为100%。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经评价，2023年度大中型水库移民后期扶持资金和基金预算的产出数量、产出质量、产出时效等产出指标全部达标。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2.效益指标完成情况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全市水利部门坚决贯彻落实习近平总书记治水重要论述精神，深入践行习近平总书记“节水优先、空间均衡、系统治理、两手发力”治水思路，认真学习贯彻党的二十大精神，扎实落实强省会战略和水利高质量发展战略部署，持续推进并加快大中型水库移民后期扶持项目建设，为保障群众的生活用水平稳库区和移民安置区的和谐稳定做出了显著贡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偏离绩效目标的原因和下一步改进措施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无</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切实加强绩效评价结果的分析和应用，将评价结果作为进一步完善和改进预算绩效管理的重要依据，并将本次绩效评价结果作为下一年度预算申报的重要参考依据。同时进一步加强预算资金管理，保障资金使用安全，提高资金使用效率，完善内部监督和控制制度，保证资金的合法性、安全性以及会计资料的真实性和完整性，确保部门履职履责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我局将在市财政局审核通过后公开2023年度中央转移支付资金绩效自评报告结果，主动接受社会监督。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无。</w:t>
      </w:r>
    </w:p>
    <w:p>
      <w:pPr>
        <w:pStyle w:val="5"/>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bCs/>
          <w:color w:val="FF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auto"/>
          <w:sz w:val="32"/>
          <w:szCs w:val="32"/>
          <w:highlight w:val="none"/>
          <w:lang w:val="en-US" w:eastAsia="zh-CN"/>
        </w:rPr>
        <w:t>南昌市水利局</w:t>
      </w:r>
      <w:r>
        <w:rPr>
          <w:rFonts w:hint="eastAsia" w:ascii="仿宋" w:hAnsi="仿宋" w:eastAsia="仿宋" w:cs="仿宋"/>
          <w:bCs/>
          <w:color w:val="FF0000"/>
          <w:sz w:val="32"/>
          <w:szCs w:val="32"/>
        </w:rPr>
        <w:t xml:space="preserve">       </w:t>
      </w:r>
      <w:r>
        <w:rPr>
          <w:rFonts w:hint="eastAsia" w:ascii="仿宋" w:hAnsi="仿宋" w:eastAsia="仿宋" w:cs="仿宋"/>
          <w:bCs/>
          <w:color w:val="000000"/>
          <w:sz w:val="32"/>
          <w:szCs w:val="32"/>
        </w:rPr>
        <w:t xml:space="preserve">               </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spacing w:line="536" w:lineRule="exact"/>
        <w:rPr>
          <w:rFonts w:hint="eastAsia" w:ascii="黑体" w:hAnsi="黑体" w:eastAsia="黑体" w:cs="黑体"/>
          <w:bCs/>
          <w:sz w:val="32"/>
          <w:szCs w:val="32"/>
        </w:rPr>
      </w:pPr>
    </w:p>
    <w:p>
      <w:pPr>
        <w:spacing w:line="536" w:lineRule="exact"/>
        <w:rPr>
          <w:rFonts w:hint="eastAsia" w:ascii="黑体" w:hAnsi="黑体" w:eastAsia="黑体" w:cs="黑体"/>
          <w:bCs/>
          <w:sz w:val="32"/>
          <w:szCs w:val="32"/>
        </w:rPr>
      </w:pPr>
    </w:p>
    <w:p>
      <w:pPr>
        <w:spacing w:line="536" w:lineRule="exact"/>
        <w:rPr>
          <w:rFonts w:hint="eastAsia" w:ascii="黑体" w:hAnsi="黑体" w:eastAsia="黑体" w:cs="黑体"/>
          <w:bCs/>
          <w:color w:val="000000"/>
          <w:spacing w:val="40"/>
          <w:sz w:val="36"/>
          <w:szCs w:val="36"/>
          <w:lang w:val="en-US" w:eastAsia="zh-CN"/>
        </w:rPr>
      </w:pPr>
      <w:r>
        <w:rPr>
          <w:rFonts w:hint="eastAsia" w:ascii="黑体" w:hAnsi="黑体" w:eastAsia="黑体" w:cs="黑体"/>
          <w:bCs/>
          <w:sz w:val="32"/>
          <w:szCs w:val="32"/>
        </w:rPr>
        <w:t>六、附件</w:t>
      </w:r>
    </w:p>
    <w:p>
      <w:pPr>
        <w:pStyle w:val="15"/>
        <w:rPr>
          <w:rFonts w:hint="default" w:ascii="黑体" w:hAnsi="黑体" w:eastAsia="黑体" w:cs="黑体"/>
          <w:bCs/>
          <w:color w:val="000000"/>
          <w:spacing w:val="40"/>
          <w:sz w:val="36"/>
          <w:szCs w:val="36"/>
          <w:lang w:val="en-US" w:eastAsia="zh-CN"/>
        </w:rPr>
      </w:pPr>
    </w:p>
    <w:p>
      <w:pPr>
        <w:jc w:val="center"/>
        <w:rPr>
          <w:rFonts w:hint="eastAsia" w:ascii="黑体" w:hAnsi="黑体" w:eastAsia="黑体" w:cs="黑体"/>
          <w:bCs/>
          <w:color w:val="000000"/>
          <w:sz w:val="36"/>
          <w:szCs w:val="36"/>
          <w:lang w:val="en-US" w:eastAsia="zh-CN"/>
        </w:rPr>
      </w:pPr>
      <w:r>
        <w:rPr>
          <w:rFonts w:hint="eastAsia" w:ascii="黑体" w:hAnsi="黑体" w:eastAsia="黑体" w:cs="黑体"/>
          <w:bCs/>
          <w:color w:val="000000"/>
          <w:spacing w:val="40"/>
          <w:sz w:val="36"/>
          <w:szCs w:val="36"/>
          <w:lang w:eastAsia="zh-CN"/>
        </w:rPr>
        <w:t>中央</w:t>
      </w:r>
      <w:r>
        <w:rPr>
          <w:rFonts w:hint="eastAsia" w:ascii="黑体" w:hAnsi="黑体" w:eastAsia="黑体" w:cs="黑体"/>
          <w:bCs/>
          <w:color w:val="000000"/>
          <w:spacing w:val="40"/>
          <w:sz w:val="36"/>
          <w:szCs w:val="36"/>
        </w:rPr>
        <w:t xml:space="preserve">转移支付区域（项目）绩效目标自评表 </w:t>
      </w:r>
    </w:p>
    <w:tbl>
      <w:tblPr>
        <w:tblStyle w:val="1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396"/>
        <w:gridCol w:w="247"/>
        <w:gridCol w:w="922"/>
        <w:gridCol w:w="408"/>
        <w:gridCol w:w="1566"/>
        <w:gridCol w:w="900"/>
        <w:gridCol w:w="758"/>
        <w:gridCol w:w="150"/>
        <w:gridCol w:w="292"/>
        <w:gridCol w:w="939"/>
        <w:gridCol w:w="16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2119" w:type="dxa"/>
            <w:gridSpan w:val="4"/>
            <w:shd w:val="clear" w:color="auto" w:fill="FFFFFF"/>
            <w:noWrap w:val="0"/>
            <w:vAlign w:val="center"/>
          </w:tcPr>
          <w:p>
            <w:pPr>
              <w:keepNext w:val="0"/>
              <w:keepLines w:val="0"/>
              <w:widowControl/>
              <w:suppressLineNumbers w:val="0"/>
              <w:spacing w:line="36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转移支付（项目）名称</w:t>
            </w:r>
          </w:p>
        </w:tc>
        <w:tc>
          <w:tcPr>
            <w:tcW w:w="7040" w:type="dxa"/>
            <w:gridSpan w:val="9"/>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大中型水库移民后期扶持资金和基金预算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119" w:type="dxa"/>
            <w:gridSpan w:val="4"/>
            <w:shd w:val="clear" w:color="auto" w:fill="FFFFFF"/>
            <w:noWrap w:val="0"/>
            <w:vAlign w:val="center"/>
          </w:tcPr>
          <w:p>
            <w:pPr>
              <w:keepNext w:val="0"/>
              <w:keepLines w:val="0"/>
              <w:widowControl/>
              <w:suppressLineNumbers w:val="0"/>
              <w:spacing w:line="24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中央主管部门</w:t>
            </w:r>
          </w:p>
        </w:tc>
        <w:tc>
          <w:tcPr>
            <w:tcW w:w="7040" w:type="dxa"/>
            <w:gridSpan w:val="9"/>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119"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地方主管部门</w:t>
            </w: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c>
          <w:tcPr>
            <w:tcW w:w="180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资金使用单位</w:t>
            </w:r>
          </w:p>
        </w:tc>
        <w:tc>
          <w:tcPr>
            <w:tcW w:w="3258"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119" w:type="dxa"/>
            <w:gridSpan w:val="4"/>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资金投入情况</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（万元）</w:t>
            </w: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全年预算数（A）</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全年执行数（B）</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预算执行率（B/A*100%)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年度资金总额：</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cs="黑体" w:eastAsiaTheme="minorEastAsia"/>
                <w:i w:val="0"/>
                <w:iCs w:val="0"/>
                <w:color w:val="000000"/>
                <w:kern w:val="0"/>
                <w:sz w:val="20"/>
                <w:szCs w:val="20"/>
                <w:u w:val="none"/>
                <w:lang w:val="en-US" w:eastAsia="zh-CN" w:bidi="ar"/>
              </w:rPr>
            </w:pPr>
            <w:r>
              <w:rPr>
                <w:rFonts w:hint="eastAsia"/>
                <w:lang w:eastAsia="zh-CN"/>
              </w:rPr>
              <w:t>4084</w:t>
            </w:r>
            <w:r>
              <w:rPr>
                <w:rFonts w:hint="eastAsia"/>
                <w:lang w:val="en-US" w:eastAsia="zh-CN"/>
              </w:rPr>
              <w:t>.00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eastAsia="黑体"/>
                <w:lang w:eastAsia="zh-CN"/>
              </w:rPr>
              <w:t>4081.03</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rPr>
              <w:t>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其中：中央财政资金</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lang w:eastAsia="zh-CN"/>
              </w:rPr>
              <w:t>4084</w:t>
            </w:r>
            <w:r>
              <w:rPr>
                <w:rFonts w:hint="eastAsia"/>
                <w:lang w:val="en-US" w:eastAsia="zh-CN"/>
              </w:rPr>
              <w:t>.00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eastAsia="黑体"/>
                <w:lang w:eastAsia="zh-CN"/>
              </w:rPr>
              <w:t>4081.03</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rPr>
              <w:t>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地方资金</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其他资金</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资金管理情况</w:t>
            </w: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情况说明</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分配科学性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按照转移支付管理制度以及资金管理办法规定的范围对大中型水库移民后期扶持资金和基金预算进行分配资金。</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下达及时性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严格按照规定时间及时下达完成。</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拨付合规性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未出现违规将资金从国库转入财政专户或支付到预算单位实有资金账户等问题。</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使用规范性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用于大中型水库移民，未出现截留、挤占、挪用或擅自调整等问题，完成率100%。</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执行准确性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执行数99.94%，没有偏离预算数。</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预算绩效管理情况</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根据绩效管理办法，我局严格按照要求对所有转移支付资金进行入库，监控，及自评，实现资金绩效管理过程全覆盖。</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支出责任履行情况</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在资金拨付、监管等方面，我局均严格按照项目资金管理办法，严格执行财务管理制度，财务处理及时、会计核算规范。</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95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总体目标完成情况</w:t>
            </w:r>
          </w:p>
        </w:tc>
        <w:tc>
          <w:tcPr>
            <w:tcW w:w="3143"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w:t>
            </w:r>
          </w:p>
        </w:tc>
        <w:tc>
          <w:tcPr>
            <w:tcW w:w="506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95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143"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确保我市大中型水库移民后期扶持资金和基金预算及时发放到位，保障移民生命财产安全。</w:t>
            </w:r>
          </w:p>
        </w:tc>
        <w:tc>
          <w:tcPr>
            <w:tcW w:w="506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1.全力推进贫困移民解困，减少贫困移民；                2.大力发展移民增收项目，增加移民人均收入,与当地农村居民平均水平差距持续缩小；                             3.库区和移民安置区和谐稳定，不发生非正常进京到省级越级上访事件；                                           4.切实加强对移民项目资金的审计、监督管理力度，扎实推进后扶资金绩效评价、监测评估、稽查等工作。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554"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绩效指标</w:t>
            </w:r>
          </w:p>
        </w:tc>
        <w:tc>
          <w:tcPr>
            <w:tcW w:w="64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一级指标</w:t>
            </w:r>
          </w:p>
        </w:tc>
        <w:tc>
          <w:tcPr>
            <w:tcW w:w="133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二级指标</w:t>
            </w:r>
          </w:p>
        </w:tc>
        <w:tc>
          <w:tcPr>
            <w:tcW w:w="2466"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三级指标</w:t>
            </w:r>
          </w:p>
        </w:tc>
        <w:tc>
          <w:tcPr>
            <w:tcW w:w="1200"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指标值</w:t>
            </w:r>
          </w:p>
        </w:tc>
        <w:tc>
          <w:tcPr>
            <w:tcW w:w="1103"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全年实际</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完成值</w:t>
            </w:r>
          </w:p>
        </w:tc>
        <w:tc>
          <w:tcPr>
            <w:tcW w:w="186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未完成原因和</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标</w:t>
            </w: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数量指标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乡村振兴重点帮扶村水库移民村组</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37组</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37组</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大中型水库后期扶持人数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32082人</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32082人</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山塘数量</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291个</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291个</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移民补助后期扶持人数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32082人</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32082人</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质量指标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补助工作开展率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时效指标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补助工作开展及时率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成本控制率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rPr>
              <w:t>99.94%</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效</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经济效益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增加移民人均可支配收入</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社会效益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助力贫困移民脱贫</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生态效益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可持续影响</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服务对象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受益群众满意度</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55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说明</w:t>
            </w:r>
          </w:p>
        </w:tc>
        <w:tc>
          <w:tcPr>
            <w:tcW w:w="8605" w:type="dxa"/>
            <w:gridSpan w:val="12"/>
            <w:shd w:val="clear" w:color="auto" w:fill="FFFFFF"/>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240" w:lineRule="auto"/>
              <w:jc w:val="left"/>
              <w:textAlignment w:val="auto"/>
              <w:rPr>
                <w:rFonts w:hint="default"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无</w:t>
            </w:r>
            <w:r>
              <w:rPr>
                <w:rFonts w:hint="eastAsia" w:ascii="黑体" w:hAnsi="宋体" w:eastAsia="黑体" w:cs="黑体"/>
                <w:i w:val="0"/>
                <w:iCs w:val="0"/>
                <w:color w:val="000000"/>
                <w:kern w:val="0"/>
                <w:sz w:val="13"/>
                <w:szCs w:val="13"/>
                <w:u w:val="none"/>
                <w:lang w:val="en-US" w:eastAsia="zh-CN" w:bidi="ar"/>
              </w:rPr>
              <w:tab/>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注：1．资金使用单位按项目绩效目标填报，主管部门汇总时按区域绩效目标填报。</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2. 其他资金包括与中央财政资金、地方财政资金共同投入到同一项目的自有资金、社会资金，以及以前年度的结转结余资金等。</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3. 全年执行数是指按照国库集中支付制度要求所形成的实际支出。</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4．定量指标，地方各级主管部门对资金使用单位填写的实际完成值汇总时，绝对值直接累加计算;相对值采用区域或整体统计数据，不能采用区域或整体统计数据的，以区域或项目的资金量为权重进行加权平均计算。。</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5．定性指标，完成情况分为好，较好、一般、较差四挡，资金使用单位分别按照90%（含）-100%、80%（含）-90%、60（含）-80%、0%-60%合理填写实际完成值。主管部门汇总时，以区域或项目的资金量为权重加权平均计算完成值。   </w:t>
      </w:r>
    </w:p>
    <w:p>
      <w:pPr>
        <w:spacing w:line="536" w:lineRule="exact"/>
        <w:rPr>
          <w:sz w:val="36"/>
          <w:szCs w:val="36"/>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49B478-9616-4E41-A12B-269AC7479C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0FC27A0-0DA1-42A9-88BE-DB720F879441}"/>
  </w:font>
  <w:font w:name="仿宋">
    <w:panose1 w:val="02010609060101010101"/>
    <w:charset w:val="86"/>
    <w:family w:val="auto"/>
    <w:pitch w:val="default"/>
    <w:sig w:usb0="800002BF" w:usb1="38CF7CFA" w:usb2="00000016" w:usb3="00000000" w:csb0="00040001" w:csb1="00000000"/>
    <w:embedRegular r:id="rId3" w:fontKey="{488F2A77-5572-4707-B386-6B9D21CCAEA9}"/>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B7404BDF-CCD8-4394-BF58-245B659E1668}"/>
  </w:font>
  <w:font w:name="仿宋_GB2312">
    <w:altName w:val="仿宋"/>
    <w:panose1 w:val="02010609030101010101"/>
    <w:charset w:val="86"/>
    <w:family w:val="modern"/>
    <w:pitch w:val="default"/>
    <w:sig w:usb0="00000000" w:usb1="00000000" w:usb2="00000000" w:usb3="00000000" w:csb0="00040000" w:csb1="00000000"/>
    <w:embedRegular r:id="rId5" w:fontKey="{09C582AD-11C8-4684-BADE-AA539BE4816E}"/>
  </w:font>
  <w:font w:name="楷体_GB2312">
    <w:altName w:val="楷体"/>
    <w:panose1 w:val="02010609030101010101"/>
    <w:charset w:val="86"/>
    <w:family w:val="modern"/>
    <w:pitch w:val="default"/>
    <w:sig w:usb0="00000000" w:usb1="00000000" w:usb2="00000010" w:usb3="00000000" w:csb0="00040000" w:csb1="00000000"/>
    <w:embedRegular r:id="rId6" w:fontKey="{09B2EFE3-FB8C-4C58-8A2E-E683CE2B4D92}"/>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D7611"/>
    <w:multiLevelType w:val="singleLevel"/>
    <w:tmpl w:val="0F6D7611"/>
    <w:lvl w:ilvl="0" w:tentative="0">
      <w:start w:val="4"/>
      <w:numFmt w:val="chineseCounting"/>
      <w:suff w:val="nothing"/>
      <w:lvlText w:val="%1、"/>
      <w:lvlJc w:val="left"/>
      <w:rPr>
        <w:rFonts w:hint="eastAsia"/>
      </w:rPr>
    </w:lvl>
  </w:abstractNum>
  <w:abstractNum w:abstractNumId="1">
    <w:nsid w:val="2905BE04"/>
    <w:multiLevelType w:val="singleLevel"/>
    <w:tmpl w:val="2905BE0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zk4MGE5MzIxYzMzNzQ4ODAxMzhkNzU0ZDkyMWIifQ=="/>
  </w:docVars>
  <w:rsids>
    <w:rsidRoot w:val="00072613"/>
    <w:rsid w:val="00072613"/>
    <w:rsid w:val="00553FCB"/>
    <w:rsid w:val="00834978"/>
    <w:rsid w:val="00902506"/>
    <w:rsid w:val="009C3769"/>
    <w:rsid w:val="01287090"/>
    <w:rsid w:val="07C853B7"/>
    <w:rsid w:val="09173EE8"/>
    <w:rsid w:val="1170063A"/>
    <w:rsid w:val="13277912"/>
    <w:rsid w:val="135721B0"/>
    <w:rsid w:val="13D12EE6"/>
    <w:rsid w:val="14A625C4"/>
    <w:rsid w:val="20650D81"/>
    <w:rsid w:val="21BC12D2"/>
    <w:rsid w:val="24D91ABD"/>
    <w:rsid w:val="25C67AB3"/>
    <w:rsid w:val="291F6B0D"/>
    <w:rsid w:val="29480C68"/>
    <w:rsid w:val="2A343876"/>
    <w:rsid w:val="2B4F4AF9"/>
    <w:rsid w:val="2F4D77DC"/>
    <w:rsid w:val="30520C9F"/>
    <w:rsid w:val="34956851"/>
    <w:rsid w:val="3E390AF3"/>
    <w:rsid w:val="454F1FBC"/>
    <w:rsid w:val="45D72FA6"/>
    <w:rsid w:val="46E33860"/>
    <w:rsid w:val="520408B3"/>
    <w:rsid w:val="719A7010"/>
    <w:rsid w:val="72271F30"/>
    <w:rsid w:val="743D40A0"/>
    <w:rsid w:val="7B942EEF"/>
    <w:rsid w:val="7EB2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pPr>
  </w:style>
  <w:style w:type="paragraph" w:customStyle="1" w:styleId="3">
    <w:name w:val="BodyTextIndent"/>
    <w:basedOn w:val="1"/>
    <w:autoRedefine/>
    <w:qFormat/>
    <w:uiPriority w:val="0"/>
    <w:pPr>
      <w:spacing w:after="120" w:line="240" w:lineRule="auto"/>
      <w:ind w:left="420" w:leftChars="200"/>
      <w:jc w:val="both"/>
    </w:pPr>
  </w:style>
  <w:style w:type="paragraph" w:styleId="4">
    <w:name w:val="Body Text"/>
    <w:basedOn w:val="1"/>
    <w:next w:val="5"/>
    <w:autoRedefine/>
    <w:unhideWhenUsed/>
    <w:qFormat/>
    <w:uiPriority w:val="99"/>
    <w:rPr>
      <w:rFonts w:ascii="仿宋" w:hAnsi="仿宋" w:cs="宋体"/>
      <w:sz w:val="28"/>
      <w:szCs w:val="28"/>
    </w:rPr>
  </w:style>
  <w:style w:type="paragraph" w:customStyle="1" w:styleId="5">
    <w:name w:val="Quote"/>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9">
    <w:name w:val="Normal (Web)"/>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styleId="10">
    <w:name w:val="Title"/>
    <w:basedOn w:val="1"/>
    <w:next w:val="1"/>
    <w:autoRedefine/>
    <w:qFormat/>
    <w:uiPriority w:val="10"/>
    <w:pPr>
      <w:spacing w:before="240" w:after="60"/>
      <w:jc w:val="left"/>
      <w:outlineLvl w:val="0"/>
    </w:pPr>
    <w:rPr>
      <w:rFonts w:ascii="Cambria" w:hAnsi="Cambria" w:eastAsia="宋体" w:cs="Times New Roman"/>
      <w:b/>
      <w:bCs/>
      <w:sz w:val="28"/>
      <w:szCs w:val="32"/>
    </w:rPr>
  </w:style>
  <w:style w:type="paragraph" w:styleId="11">
    <w:name w:val="Body Text First Indent 2"/>
    <w:basedOn w:val="1"/>
    <w:autoRedefine/>
    <w:qFormat/>
    <w:uiPriority w:val="99"/>
    <w:pPr>
      <w:ind w:left="420" w:leftChars="200" w:firstLine="210"/>
    </w:pPr>
  </w:style>
  <w:style w:type="paragraph" w:customStyle="1" w:styleId="14">
    <w:name w:val="p0"/>
    <w:basedOn w:val="1"/>
    <w:autoRedefine/>
    <w:qFormat/>
    <w:uiPriority w:val="0"/>
    <w:pPr>
      <w:jc w:val="both"/>
    </w:pPr>
    <w:rPr>
      <w:rFonts w:ascii="Calibri" w:hAnsi="Calibri" w:cs="Times New Roman"/>
      <w:sz w:val="21"/>
      <w:szCs w:val="21"/>
    </w:rPr>
  </w:style>
  <w:style w:type="paragraph" w:customStyle="1" w:styleId="15">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16">
    <w:name w:val="页眉 Char"/>
    <w:basedOn w:val="13"/>
    <w:link w:val="7"/>
    <w:autoRedefine/>
    <w:semiHidden/>
    <w:qFormat/>
    <w:uiPriority w:val="99"/>
    <w:rPr>
      <w:sz w:val="18"/>
      <w:szCs w:val="18"/>
    </w:rPr>
  </w:style>
  <w:style w:type="character" w:customStyle="1" w:styleId="17">
    <w:name w:val="页脚 Char"/>
    <w:basedOn w:val="13"/>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2740</Words>
  <Characters>2979</Characters>
  <Lines>3</Lines>
  <Paragraphs>1</Paragraphs>
  <TotalTime>1085</TotalTime>
  <ScaleCrop>false</ScaleCrop>
  <LinksUpToDate>false</LinksUpToDate>
  <CharactersWithSpaces>3055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2023-04-07T05:05:00Z</dcterms:created>
  <dc:creator>彭承京</dc:creator>
  <cp:lastModifiedBy>青栀</cp:lastModifiedBy>
  <cp:lastPrinted>2023-04-10T06:24:00Z</cp:lastPrinted>
  <dcterms:modified xsi:type="dcterms:W3CDTF">2024-03-28T03:32:14Z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ACE49487640045B7B94770340E485690_13</vt:lpwstr>
  </property>
</Properties>
</file>