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6" w:lineRule="exact"/>
        <w:rPr>
          <w:rFonts w:ascii="黑体" w:hAnsi="黑体" w:eastAsia="黑体" w:cs="黑体"/>
          <w:b/>
          <w:sz w:val="32"/>
          <w:szCs w:val="32"/>
        </w:rPr>
      </w:pPr>
      <w:r>
        <w:rPr>
          <w:rFonts w:hint="eastAsia" w:ascii="黑体" w:hAnsi="黑体" w:eastAsia="黑体" w:cs="黑体"/>
          <w:sz w:val="32"/>
          <w:szCs w:val="32"/>
        </w:rPr>
        <w:t>附件2：</w:t>
      </w:r>
    </w:p>
    <w:p>
      <w:pPr>
        <w:spacing w:line="536" w:lineRule="exact"/>
      </w:pPr>
    </w:p>
    <w:p>
      <w:pPr>
        <w:spacing w:line="536"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南昌市小型水库移民解困资金</w:t>
      </w:r>
    </w:p>
    <w:p>
      <w:pPr>
        <w:spacing w:line="536"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2023年省级</w:t>
      </w:r>
      <w:r>
        <w:rPr>
          <w:rFonts w:hint="eastAsia" w:ascii="方正小标宋简体" w:hAnsi="方正小标宋简体" w:eastAsia="方正小标宋简体" w:cs="方正小标宋简体"/>
          <w:bCs/>
          <w:sz w:val="44"/>
          <w:szCs w:val="44"/>
        </w:rPr>
        <w:t>转移支付</w:t>
      </w:r>
      <w:r>
        <w:rPr>
          <w:rFonts w:hint="eastAsia" w:ascii="方正小标宋简体" w:hAnsi="方正小标宋简体" w:eastAsia="方正小标宋简体" w:cs="方正小标宋简体"/>
          <w:bCs/>
          <w:sz w:val="44"/>
          <w:szCs w:val="44"/>
          <w:lang w:val="en-US" w:eastAsia="zh-CN"/>
        </w:rPr>
        <w:t>资金</w:t>
      </w:r>
      <w:r>
        <w:rPr>
          <w:rFonts w:hint="eastAsia" w:ascii="方正小标宋简体" w:hAnsi="方正小标宋简体" w:eastAsia="方正小标宋简体" w:cs="方正小标宋简体"/>
          <w:bCs/>
          <w:sz w:val="44"/>
          <w:szCs w:val="44"/>
        </w:rPr>
        <w:t>绩效自评报告</w:t>
      </w:r>
    </w:p>
    <w:p>
      <w:pPr>
        <w:spacing w:line="536" w:lineRule="exact"/>
        <w:ind w:firstLine="640" w:firstLineChars="200"/>
        <w:rPr>
          <w:rFonts w:hint="eastAsia" w:ascii="黑体" w:hAnsi="黑体" w:eastAsia="黑体" w:cs="黑体"/>
          <w:bCs/>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按照《关于开展2023中央和省级转移支付预算执行情况绩效工作自评的预通知》要求，我局对2023年度省级和省级转移支付情况进行了自评，现将自评情况报告如下: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一、绩效目标分解下达情况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我局小型水库移民解困资金2023年省级转移支付资金全年预算数为175万元，全年实际到位175万元，资金到位率为100%，确保了2023年小型水库移民解困资金及时足额发放。项目资金主要用于</w:t>
      </w:r>
      <w:r>
        <w:rPr>
          <w:rFonts w:hint="default" w:ascii="仿宋_GB2312" w:eastAsia="仿宋_GB2312"/>
          <w:sz w:val="32"/>
          <w:szCs w:val="32"/>
          <w:lang w:val="en-US" w:eastAsia="zh-CN"/>
        </w:rPr>
        <w:t>全力推进贫困移民解困，大力发展移民增收项目，增加移民人均收入。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二、绩效目标完成情况分析</w:t>
      </w:r>
    </w:p>
    <w:p>
      <w:pPr>
        <w:keepNext w:val="0"/>
        <w:keepLines w:val="0"/>
        <w:pageBreakBefore w:val="0"/>
        <w:widowControl w:val="0"/>
        <w:kinsoku/>
        <w:wordWrap/>
        <w:overflowPunct/>
        <w:topLinePunct w:val="0"/>
        <w:autoSpaceDE/>
        <w:autoSpaceDN/>
        <w:bidi w:val="0"/>
        <w:adjustRightInd/>
        <w:snapToGrid/>
        <w:spacing w:line="520" w:lineRule="exact"/>
        <w:ind w:firstLine="462" w:firstLineChars="150"/>
        <w:textAlignment w:val="auto"/>
        <w:rPr>
          <w:rFonts w:hint="eastAsia" w:ascii="楷体_GB2312" w:hAnsi="楷体_GB2312" w:eastAsia="楷体_GB2312" w:cs="楷体_GB2312"/>
          <w:b w:val="0"/>
          <w:bCs/>
          <w:spacing w:val="-6"/>
          <w:sz w:val="32"/>
          <w:szCs w:val="32"/>
        </w:rPr>
      </w:pPr>
      <w:r>
        <w:rPr>
          <w:rFonts w:hint="eastAsia" w:ascii="楷体_GB2312" w:hAnsi="楷体_GB2312" w:eastAsia="楷体_GB2312" w:cs="楷体_GB2312"/>
          <w:b w:val="0"/>
          <w:bCs/>
          <w:spacing w:val="-6"/>
          <w:sz w:val="32"/>
          <w:szCs w:val="32"/>
        </w:rPr>
        <w:t>（一）资金投入情况分析</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1.项目资金到位情况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经我局申请，市财政局按程序下达省级转移支付资金（</w:t>
      </w:r>
      <w:r>
        <w:rPr>
          <w:rFonts w:hint="eastAsia" w:ascii="仿宋_GB2312" w:eastAsia="仿宋_GB2312"/>
          <w:sz w:val="32"/>
          <w:szCs w:val="32"/>
          <w:lang w:eastAsia="zh-CN"/>
        </w:rPr>
        <w:t>小型水库移民解困资金），</w:t>
      </w:r>
      <w:r>
        <w:rPr>
          <w:rFonts w:hint="eastAsia" w:ascii="仿宋_GB2312" w:eastAsia="仿宋_GB2312"/>
          <w:sz w:val="32"/>
          <w:szCs w:val="32"/>
          <w:lang w:val="en-US" w:eastAsia="zh-CN"/>
        </w:rPr>
        <w:t>资金到位率100%。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2.项目资金执行情况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在项目过程中，</w:t>
      </w:r>
      <w:r>
        <w:rPr>
          <w:rFonts w:hint="eastAsia" w:ascii="仿宋_GB2312" w:eastAsia="仿宋_GB2312"/>
          <w:sz w:val="32"/>
          <w:szCs w:val="32"/>
          <w:lang w:val="en-US" w:eastAsia="zh-CN"/>
        </w:rPr>
        <w:t>我局</w:t>
      </w:r>
      <w:r>
        <w:rPr>
          <w:rFonts w:hint="default" w:ascii="仿宋_GB2312" w:eastAsia="仿宋_GB2312"/>
          <w:sz w:val="32"/>
          <w:szCs w:val="32"/>
          <w:lang w:val="en-US" w:eastAsia="zh-CN"/>
        </w:rPr>
        <w:t>严格按照项目实施方案组织实施，足额配套落实自筹资金，</w:t>
      </w:r>
      <w:r>
        <w:rPr>
          <w:rFonts w:hint="eastAsia" w:ascii="仿宋_GB2312" w:eastAsia="仿宋_GB2312"/>
          <w:sz w:val="32"/>
          <w:szCs w:val="32"/>
          <w:lang w:eastAsia="zh-CN"/>
        </w:rPr>
        <w:t>小型水库移民解困资金</w:t>
      </w:r>
      <w:r>
        <w:rPr>
          <w:rFonts w:hint="eastAsia" w:ascii="仿宋_GB2312" w:eastAsia="仿宋_GB2312"/>
          <w:sz w:val="32"/>
          <w:szCs w:val="32"/>
          <w:lang w:val="en-US" w:eastAsia="zh-CN"/>
        </w:rPr>
        <w:t>175</w:t>
      </w:r>
      <w:r>
        <w:rPr>
          <w:rFonts w:hint="default" w:ascii="仿宋_GB2312" w:eastAsia="仿宋_GB2312"/>
          <w:sz w:val="32"/>
          <w:szCs w:val="32"/>
          <w:lang w:val="en-US" w:eastAsia="zh-CN"/>
        </w:rPr>
        <w:t>万元已完成支付，项目资金执行率100%。</w:t>
      </w:r>
    </w:p>
    <w:p>
      <w:pPr>
        <w:keepNext w:val="0"/>
        <w:keepLines w:val="0"/>
        <w:pageBreakBefore w:val="0"/>
        <w:widowControl w:val="0"/>
        <w:kinsoku/>
        <w:wordWrap/>
        <w:overflowPunct/>
        <w:topLinePunct w:val="0"/>
        <w:autoSpaceDE/>
        <w:autoSpaceDN/>
        <w:bidi w:val="0"/>
        <w:adjustRightInd/>
        <w:snapToGrid/>
        <w:spacing w:line="520" w:lineRule="exact"/>
        <w:ind w:firstLine="464" w:firstLineChars="150"/>
        <w:textAlignment w:val="auto"/>
        <w:rPr>
          <w:rFonts w:hint="eastAsia" w:ascii="楷体_GB2312" w:hAnsi="楷体_GB2312" w:eastAsia="楷体_GB2312" w:cs="楷体_GB2312"/>
          <w:b/>
          <w:spacing w:val="-6"/>
          <w:sz w:val="32"/>
          <w:szCs w:val="32"/>
        </w:rPr>
      </w:pPr>
      <w:r>
        <w:rPr>
          <w:rFonts w:hint="eastAsia" w:ascii="楷体_GB2312" w:hAnsi="楷体_GB2312" w:eastAsia="楷体_GB2312" w:cs="楷体_GB2312"/>
          <w:b/>
          <w:spacing w:val="-6"/>
          <w:sz w:val="32"/>
          <w:szCs w:val="32"/>
        </w:rPr>
        <w:t>（二）资金管理情况分析。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我局认真严格按照资金使用管理办法要求，规范和加强专项资金管理，加强绩效目标绩效监控管理，提高财政资金使用绩效，实行专人管理、专账核算、专款专用。建设单位项目按照计划和建设进度申请拨付使用资金，按照财务管理制度规定，坚持履行规定的程序和手续，分期拨付、单据审核、办理报账，确保项目资金使用安全有效、确保了补助资金、财政配套资金和自筹资金运行安全。</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482" w:firstLineChars="15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总体绩效目标完成情况分析。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总体来看，我局</w:t>
      </w:r>
      <w:r>
        <w:rPr>
          <w:rFonts w:hint="eastAsia" w:ascii="仿宋_GB2312" w:eastAsia="仿宋_GB2312"/>
          <w:sz w:val="32"/>
          <w:szCs w:val="32"/>
          <w:lang w:eastAsia="zh-CN"/>
        </w:rPr>
        <w:t>小型水库库区及移民安置区生产生活条件和基础设施改善建设工作</w:t>
      </w:r>
      <w:r>
        <w:rPr>
          <w:rFonts w:hint="default" w:ascii="仿宋_GB2312" w:eastAsia="仿宋_GB2312"/>
          <w:sz w:val="32"/>
          <w:szCs w:val="32"/>
          <w:lang w:val="en-US" w:eastAsia="zh-CN"/>
        </w:rPr>
        <w:t>工作</w:t>
      </w:r>
      <w:r>
        <w:rPr>
          <w:rFonts w:hint="eastAsia" w:ascii="仿宋_GB2312" w:eastAsia="仿宋_GB2312"/>
          <w:sz w:val="32"/>
          <w:szCs w:val="32"/>
          <w:lang w:val="en-US" w:eastAsia="zh-CN"/>
        </w:rPr>
        <w:t>完成较好，绩效目标完成率100%。我局大力发展移民增收项目，增加移民人均收入，与当地农村居民平均水平差距持续缩小，改善移民居住环境，提升移民生产生活水平。</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150"/>
        <w:textAlignment w:val="auto"/>
        <w:rPr>
          <w:rFonts w:hint="eastAsia" w:ascii="仿宋_GB2312" w:eastAsia="仿宋_GB2312"/>
          <w:sz w:val="32"/>
          <w:szCs w:val="32"/>
        </w:rPr>
      </w:pPr>
      <w:r>
        <w:rPr>
          <w:rFonts w:hint="eastAsia" w:ascii="楷体_GB2312" w:hAnsi="楷体_GB2312" w:eastAsia="楷体_GB2312" w:cs="楷体_GB2312"/>
          <w:b/>
          <w:sz w:val="32"/>
          <w:szCs w:val="32"/>
        </w:rPr>
        <w:t>（四）绩效指标完成情况分析。</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1.产出指标完成情况分析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完成新增小型水库容量28687.06万平方米，新增小型水库464座，工程质量合格率为100%，截至当年底项目已完成完工验收。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经评价，2023年度小型水库移民解困资金的产出数量、产出质量、产出时效等产出指标基本达标。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2.效益指标完成情况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2023年来，全市水利部门坚决贯彻落实习近平总书记治水重要论述精神，深入践行习近平总书记“节水优先、空间均衡、系统治理、两手发力”治水思路，认真学习贯彻党的二十大精神，扎实落实强省会战略和水利高质量发展战略部署，加快重大水利项目建设，抓好水旱灾害防御、水生态文明建设和水利建设、管理、改革等各项工作，推动新阶段水利高质量发展迈出坚实步伐。</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偏离绩效目标的原因和下一步改进措施</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无</w:t>
      </w:r>
    </w:p>
    <w:p>
      <w:pPr>
        <w:keepNext w:val="0"/>
        <w:keepLines w:val="0"/>
        <w:pageBreakBefore w:val="0"/>
        <w:widowControl/>
        <w:numPr>
          <w:ilvl w:val="0"/>
          <w:numId w:val="3"/>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黑体" w:hAnsi="黑体" w:eastAsia="黑体" w:cs="黑体"/>
          <w:bCs/>
          <w:sz w:val="32"/>
          <w:szCs w:val="32"/>
        </w:rPr>
      </w:pPr>
      <w:r>
        <w:rPr>
          <w:rFonts w:hint="eastAsia" w:ascii="黑体" w:hAnsi="黑体" w:eastAsia="黑体" w:cs="黑体"/>
          <w:bCs/>
          <w:sz w:val="32"/>
          <w:szCs w:val="32"/>
        </w:rPr>
        <w:t>绩效自评结果拟应用和公开情况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我局将切实加强绩效评价结果的分析和应用，将评价结果作为进一步完善和改进预算绩效管理的重要依据，并将本次绩效评价结果作为下一年度预算申报的重要参考依据。同时进一步加强预算资金管理，保障资金使用安全，提高资金使用效率，完善内部监督和控制制度，保证资金的合法性、安全性以及会计资料的真实性和完整性，确保部门履职履责效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我局将在区财政局审核通过后公开2023年度省级转移支付资金绩效自评报告结果，主动接受社会监督。</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五、其他需要说明的问题</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无。</w:t>
      </w:r>
    </w:p>
    <w:p>
      <w:pPr>
        <w:pStyle w:val="5"/>
        <w:keepNext w:val="0"/>
        <w:keepLines w:val="0"/>
        <w:pageBreakBefore w:val="0"/>
        <w:kinsoku/>
        <w:overflowPunct/>
        <w:topLinePunct w:val="0"/>
        <w:autoSpaceDE/>
        <w:autoSpaceDN/>
        <w:bidi w:val="0"/>
        <w:adjustRightInd/>
        <w:snapToGrid/>
        <w:spacing w:line="560" w:lineRule="exact"/>
        <w:textAlignment w:val="auto"/>
        <w:rPr>
          <w:rFonts w:hint="eastAsia" w:ascii="仿宋" w:hAnsi="仿宋" w:eastAsia="仿宋" w:cs="仿宋"/>
          <w:bCs/>
          <w:color w:val="FF0000"/>
          <w:sz w:val="32"/>
          <w:szCs w:val="32"/>
          <w:lang w:val="en-US" w:eastAsia="zh-CN"/>
        </w:rPr>
      </w:pPr>
    </w:p>
    <w:p>
      <w:pPr>
        <w:rPr>
          <w:rFonts w:hint="eastAsia" w:ascii="仿宋" w:hAnsi="仿宋" w:eastAsia="仿宋" w:cs="仿宋"/>
          <w:bCs/>
          <w:color w:val="FF0000"/>
          <w:sz w:val="32"/>
          <w:szCs w:val="32"/>
          <w:lang w:val="en-US" w:eastAsia="zh-CN"/>
        </w:rPr>
      </w:pPr>
    </w:p>
    <w:p>
      <w:pPr>
        <w:pStyle w:val="4"/>
        <w:rPr>
          <w:rFonts w:hint="eastAsia"/>
          <w:lang w:val="en-US" w:eastAsia="zh-CN"/>
        </w:rPr>
      </w:pPr>
    </w:p>
    <w:p>
      <w:pPr>
        <w:keepNext w:val="0"/>
        <w:keepLines w:val="0"/>
        <w:pageBreakBefore w:val="0"/>
        <w:kinsoku/>
        <w:wordWrap/>
        <w:overflowPunct/>
        <w:topLinePunct w:val="0"/>
        <w:autoSpaceDE/>
        <w:autoSpaceDN/>
        <w:bidi w:val="0"/>
        <w:adjustRightInd/>
        <w:snapToGrid/>
        <w:spacing w:line="480" w:lineRule="exact"/>
        <w:ind w:firstLine="4800" w:firstLineChars="1500"/>
        <w:jc w:val="both"/>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auto"/>
          <w:sz w:val="32"/>
          <w:szCs w:val="32"/>
          <w:highlight w:val="none"/>
          <w:lang w:val="en-US" w:eastAsia="zh-CN"/>
        </w:rPr>
        <w:t>南昌市水利局</w:t>
      </w:r>
      <w:r>
        <w:rPr>
          <w:rFonts w:hint="eastAsia" w:ascii="仿宋" w:hAnsi="仿宋" w:eastAsia="仿宋" w:cs="仿宋"/>
          <w:bCs/>
          <w:color w:val="FF0000"/>
          <w:sz w:val="32"/>
          <w:szCs w:val="32"/>
        </w:rPr>
        <w:t xml:space="preserve">       </w:t>
      </w:r>
      <w:r>
        <w:rPr>
          <w:rFonts w:hint="eastAsia" w:ascii="仿宋" w:hAnsi="仿宋" w:eastAsia="仿宋" w:cs="仿宋"/>
          <w:bCs/>
          <w:color w:val="000000"/>
          <w:sz w:val="32"/>
          <w:szCs w:val="32"/>
        </w:rPr>
        <w:t xml:space="preserve">               </w:t>
      </w:r>
      <w:r>
        <w:rPr>
          <w:rFonts w:ascii="仿宋" w:hAnsi="仿宋" w:eastAsia="仿宋" w:cs="仿宋"/>
          <w:bCs/>
          <w:color w:val="000000"/>
          <w:sz w:val="32"/>
          <w:szCs w:val="32"/>
        </w:rPr>
        <w:t xml:space="preserve">           </w:t>
      </w:r>
      <w:r>
        <w:rPr>
          <w:rFonts w:hint="eastAsia" w:ascii="仿宋" w:hAnsi="仿宋" w:eastAsia="仿宋" w:cs="仿宋"/>
          <w:bCs/>
          <w:color w:val="000000"/>
          <w:sz w:val="32"/>
          <w:szCs w:val="32"/>
        </w:rPr>
        <w:t xml:space="preserve"> </w:t>
      </w:r>
      <w:r>
        <w:rPr>
          <w:rFonts w:hint="eastAsia" w:ascii="仿宋" w:hAnsi="仿宋" w:eastAsia="仿宋" w:cs="仿宋"/>
          <w:bCs/>
          <w:color w:val="00000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bCs/>
          <w:color w:val="000000"/>
          <w:sz w:val="32"/>
          <w:szCs w:val="32"/>
        </w:rPr>
      </w:pPr>
      <w:r>
        <w:rPr>
          <w:rFonts w:hint="eastAsia" w:ascii="仿宋" w:hAnsi="仿宋" w:eastAsia="仿宋" w:cs="仿宋"/>
          <w:bCs/>
          <w:color w:val="000000"/>
          <w:sz w:val="32"/>
          <w:szCs w:val="32"/>
          <w:lang w:val="en-US" w:eastAsia="zh-CN"/>
        </w:rPr>
        <w:t xml:space="preserve">                   </w:t>
      </w:r>
      <w:r>
        <w:rPr>
          <w:rFonts w:hint="eastAsia" w:ascii="仿宋" w:hAnsi="仿宋" w:eastAsia="仿宋" w:cs="仿宋"/>
          <w:bCs/>
          <w:color w:val="000000"/>
          <w:sz w:val="32"/>
          <w:szCs w:val="32"/>
        </w:rPr>
        <w:t>202</w:t>
      </w:r>
      <w:r>
        <w:rPr>
          <w:rFonts w:hint="eastAsia" w:ascii="仿宋" w:hAnsi="仿宋" w:eastAsia="仿宋" w:cs="仿宋"/>
          <w:bCs/>
          <w:color w:val="000000"/>
          <w:sz w:val="32"/>
          <w:szCs w:val="32"/>
          <w:lang w:val="en-US" w:eastAsia="zh-CN"/>
        </w:rPr>
        <w:t>4</w:t>
      </w:r>
      <w:r>
        <w:rPr>
          <w:rFonts w:hint="eastAsia" w:ascii="仿宋" w:hAnsi="仿宋" w:eastAsia="仿宋" w:cs="仿宋"/>
          <w:bCs/>
          <w:color w:val="000000"/>
          <w:sz w:val="32"/>
          <w:szCs w:val="32"/>
        </w:rPr>
        <w:t>年</w:t>
      </w: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rPr>
        <w:t>月</w:t>
      </w:r>
      <w:r>
        <w:rPr>
          <w:rFonts w:hint="eastAsia" w:ascii="仿宋" w:hAnsi="仿宋" w:eastAsia="仿宋" w:cs="仿宋"/>
          <w:bCs/>
          <w:color w:val="000000"/>
          <w:sz w:val="32"/>
          <w:szCs w:val="32"/>
          <w:lang w:val="en-US" w:eastAsia="zh-CN"/>
        </w:rPr>
        <w:t>13</w:t>
      </w:r>
      <w:r>
        <w:rPr>
          <w:rFonts w:hint="eastAsia" w:ascii="仿宋" w:hAnsi="仿宋" w:eastAsia="仿宋" w:cs="仿宋"/>
          <w:bCs/>
          <w:color w:val="000000"/>
          <w:sz w:val="32"/>
          <w:szCs w:val="32"/>
        </w:rPr>
        <w:t>日</w:t>
      </w:r>
    </w:p>
    <w:p>
      <w:pPr>
        <w:pStyle w:val="15"/>
        <w:keepNext w:val="0"/>
        <w:keepLines w:val="0"/>
        <w:pageBreakBefore w:val="0"/>
        <w:kinsoku/>
        <w:wordWrap/>
        <w:overflowPunct/>
        <w:topLinePunct w:val="0"/>
        <w:autoSpaceDE/>
        <w:autoSpaceDN/>
        <w:bidi w:val="0"/>
        <w:spacing w:line="480" w:lineRule="exact"/>
        <w:textAlignment w:val="auto"/>
        <w:rPr>
          <w:rFonts w:hint="eastAsia" w:ascii="仿宋_GB2312" w:eastAsia="仿宋_GB2312"/>
          <w:sz w:val="32"/>
          <w:szCs w:val="32"/>
          <w:lang w:val="en-US" w:eastAsia="zh-CN"/>
        </w:rPr>
      </w:pPr>
    </w:p>
    <w:p>
      <w:pPr>
        <w:pStyle w:val="15"/>
        <w:keepNext w:val="0"/>
        <w:keepLines w:val="0"/>
        <w:pageBreakBefore w:val="0"/>
        <w:kinsoku/>
        <w:wordWrap/>
        <w:overflowPunct/>
        <w:topLinePunct w:val="0"/>
        <w:autoSpaceDE/>
        <w:autoSpaceDN/>
        <w:bidi w:val="0"/>
        <w:spacing w:line="480" w:lineRule="exact"/>
        <w:textAlignment w:val="auto"/>
        <w:rPr>
          <w:rFonts w:hint="eastAsia" w:ascii="仿宋_GB2312" w:eastAsia="仿宋_GB2312"/>
          <w:sz w:val="32"/>
          <w:szCs w:val="32"/>
          <w:lang w:val="en-US" w:eastAsia="zh-CN"/>
        </w:rPr>
      </w:pPr>
    </w:p>
    <w:p>
      <w:pPr>
        <w:pStyle w:val="15"/>
        <w:keepNext w:val="0"/>
        <w:keepLines w:val="0"/>
        <w:pageBreakBefore w:val="0"/>
        <w:kinsoku/>
        <w:wordWrap/>
        <w:overflowPunct/>
        <w:topLinePunct w:val="0"/>
        <w:autoSpaceDE/>
        <w:autoSpaceDN/>
        <w:bidi w:val="0"/>
        <w:spacing w:line="480" w:lineRule="exact"/>
        <w:textAlignment w:val="auto"/>
        <w:rPr>
          <w:rFonts w:hint="eastAsia" w:ascii="仿宋_GB2312" w:eastAsia="仿宋_GB2312"/>
          <w:sz w:val="32"/>
          <w:szCs w:val="32"/>
          <w:lang w:val="en-US" w:eastAsia="zh-CN"/>
        </w:rPr>
      </w:pPr>
    </w:p>
    <w:p>
      <w:pPr>
        <w:pStyle w:val="15"/>
        <w:keepNext w:val="0"/>
        <w:keepLines w:val="0"/>
        <w:pageBreakBefore w:val="0"/>
        <w:kinsoku/>
        <w:wordWrap/>
        <w:overflowPunct/>
        <w:topLinePunct w:val="0"/>
        <w:autoSpaceDE/>
        <w:autoSpaceDN/>
        <w:bidi w:val="0"/>
        <w:spacing w:line="480" w:lineRule="exact"/>
        <w:textAlignment w:val="auto"/>
        <w:rPr>
          <w:rFonts w:hint="eastAsia" w:ascii="仿宋_GB2312" w:eastAsia="仿宋_GB2312"/>
          <w:sz w:val="32"/>
          <w:szCs w:val="32"/>
          <w:lang w:val="en-US" w:eastAsia="zh-CN"/>
        </w:rPr>
      </w:pPr>
    </w:p>
    <w:p>
      <w:pPr>
        <w:pStyle w:val="15"/>
        <w:keepNext w:val="0"/>
        <w:keepLines w:val="0"/>
        <w:pageBreakBefore w:val="0"/>
        <w:kinsoku/>
        <w:wordWrap/>
        <w:overflowPunct/>
        <w:topLinePunct w:val="0"/>
        <w:autoSpaceDE/>
        <w:autoSpaceDN/>
        <w:bidi w:val="0"/>
        <w:spacing w:line="480" w:lineRule="exact"/>
        <w:textAlignment w:val="auto"/>
        <w:rPr>
          <w:rFonts w:hint="eastAsia" w:ascii="仿宋_GB2312" w:eastAsia="仿宋_GB2312"/>
          <w:sz w:val="32"/>
          <w:szCs w:val="32"/>
          <w:lang w:val="en-US" w:eastAsia="zh-CN"/>
        </w:rPr>
      </w:pPr>
    </w:p>
    <w:p>
      <w:pPr>
        <w:pStyle w:val="15"/>
        <w:keepNext w:val="0"/>
        <w:keepLines w:val="0"/>
        <w:pageBreakBefore w:val="0"/>
        <w:kinsoku/>
        <w:wordWrap/>
        <w:overflowPunct/>
        <w:topLinePunct w:val="0"/>
        <w:autoSpaceDE/>
        <w:autoSpaceDN/>
        <w:bidi w:val="0"/>
        <w:spacing w:line="480" w:lineRule="exact"/>
        <w:textAlignment w:val="auto"/>
        <w:rPr>
          <w:rFonts w:hint="eastAsia" w:ascii="仿宋_GB2312" w:eastAsia="仿宋_GB2312"/>
          <w:sz w:val="32"/>
          <w:szCs w:val="32"/>
          <w:lang w:val="en-US" w:eastAsia="zh-CN"/>
        </w:rPr>
      </w:pPr>
    </w:p>
    <w:p>
      <w:pPr>
        <w:pStyle w:val="15"/>
        <w:keepNext w:val="0"/>
        <w:keepLines w:val="0"/>
        <w:pageBreakBefore w:val="0"/>
        <w:kinsoku/>
        <w:wordWrap/>
        <w:overflowPunct/>
        <w:topLinePunct w:val="0"/>
        <w:autoSpaceDE/>
        <w:autoSpaceDN/>
        <w:bidi w:val="0"/>
        <w:spacing w:line="480" w:lineRule="exact"/>
        <w:textAlignment w:val="auto"/>
        <w:rPr>
          <w:rFonts w:hint="eastAsia" w:ascii="仿宋_GB2312" w:eastAsia="仿宋_GB2312"/>
          <w:sz w:val="32"/>
          <w:szCs w:val="32"/>
          <w:lang w:val="en-US" w:eastAsia="zh-CN"/>
        </w:rPr>
      </w:pPr>
    </w:p>
    <w:p>
      <w:pPr>
        <w:spacing w:line="536" w:lineRule="exact"/>
        <w:rPr>
          <w:rFonts w:hint="eastAsia" w:ascii="黑体" w:hAnsi="黑体" w:eastAsia="黑体" w:cs="黑体"/>
          <w:bCs/>
          <w:color w:val="000000"/>
          <w:spacing w:val="40"/>
          <w:sz w:val="36"/>
          <w:szCs w:val="36"/>
          <w:lang w:val="en-US" w:eastAsia="zh-CN"/>
        </w:rPr>
      </w:pPr>
      <w:r>
        <w:rPr>
          <w:rFonts w:hint="eastAsia" w:ascii="黑体" w:hAnsi="黑体" w:eastAsia="黑体" w:cs="黑体"/>
          <w:bCs/>
          <w:sz w:val="32"/>
          <w:szCs w:val="32"/>
        </w:rPr>
        <w:t>六、附件</w:t>
      </w:r>
    </w:p>
    <w:p>
      <w:pPr>
        <w:pStyle w:val="15"/>
        <w:rPr>
          <w:rFonts w:hint="default" w:ascii="黑体" w:hAnsi="黑体" w:eastAsia="黑体" w:cs="黑体"/>
          <w:bCs/>
          <w:color w:val="000000"/>
          <w:spacing w:val="40"/>
          <w:sz w:val="36"/>
          <w:szCs w:val="36"/>
          <w:lang w:val="en-US" w:eastAsia="zh-CN"/>
        </w:rPr>
      </w:pPr>
    </w:p>
    <w:p>
      <w:pPr>
        <w:jc w:val="center"/>
        <w:rPr>
          <w:rFonts w:hint="eastAsia" w:ascii="黑体" w:hAnsi="黑体" w:eastAsia="黑体" w:cs="黑体"/>
          <w:bCs/>
          <w:color w:val="000000"/>
          <w:sz w:val="36"/>
          <w:szCs w:val="36"/>
          <w:lang w:val="en-US" w:eastAsia="zh-CN"/>
        </w:rPr>
      </w:pPr>
      <w:r>
        <w:rPr>
          <w:rFonts w:hint="eastAsia" w:ascii="黑体" w:hAnsi="黑体" w:eastAsia="黑体" w:cs="黑体"/>
          <w:bCs/>
          <w:color w:val="000000"/>
          <w:spacing w:val="40"/>
          <w:sz w:val="36"/>
          <w:szCs w:val="36"/>
          <w:lang w:eastAsia="zh-CN"/>
        </w:rPr>
        <w:t>省级</w:t>
      </w:r>
      <w:r>
        <w:rPr>
          <w:rFonts w:hint="eastAsia" w:ascii="黑体" w:hAnsi="黑体" w:eastAsia="黑体" w:cs="黑体"/>
          <w:bCs/>
          <w:color w:val="000000"/>
          <w:spacing w:val="40"/>
          <w:sz w:val="36"/>
          <w:szCs w:val="36"/>
        </w:rPr>
        <w:t xml:space="preserve">转移支付区域（项目）绩效目标自评表 </w:t>
      </w:r>
    </w:p>
    <w:tbl>
      <w:tblPr>
        <w:tblStyle w:val="12"/>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396"/>
        <w:gridCol w:w="247"/>
        <w:gridCol w:w="692"/>
        <w:gridCol w:w="638"/>
        <w:gridCol w:w="320"/>
        <w:gridCol w:w="1523"/>
        <w:gridCol w:w="623"/>
        <w:gridCol w:w="758"/>
        <w:gridCol w:w="150"/>
        <w:gridCol w:w="292"/>
        <w:gridCol w:w="939"/>
        <w:gridCol w:w="164"/>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blHeader/>
          <w:jc w:val="center"/>
        </w:trPr>
        <w:tc>
          <w:tcPr>
            <w:tcW w:w="2847" w:type="dxa"/>
            <w:gridSpan w:val="6"/>
            <w:shd w:val="clear" w:color="auto" w:fill="FFFFFF"/>
            <w:noWrap w:val="0"/>
            <w:vAlign w:val="center"/>
          </w:tcPr>
          <w:p>
            <w:pPr>
              <w:keepNext w:val="0"/>
              <w:keepLines w:val="0"/>
              <w:widowControl/>
              <w:suppressLineNumbers w:val="0"/>
              <w:spacing w:line="360" w:lineRule="auto"/>
              <w:jc w:val="center"/>
              <w:textAlignment w:val="center"/>
              <w:rPr>
                <w:rFonts w:hint="eastAsia" w:ascii="黑体" w:hAnsi="黑体" w:eastAsia="黑体" w:cs="黑体"/>
                <w:bCs/>
                <w:color w:val="000000"/>
                <w:kern w:val="0"/>
                <w:sz w:val="18"/>
                <w:szCs w:val="18"/>
                <w:highlight w:val="none"/>
              </w:rPr>
            </w:pPr>
            <w:r>
              <w:rPr>
                <w:rFonts w:hint="eastAsia" w:ascii="黑体" w:hAnsi="宋体" w:eastAsia="黑体" w:cs="黑体"/>
                <w:i w:val="0"/>
                <w:iCs w:val="0"/>
                <w:color w:val="000000"/>
                <w:kern w:val="0"/>
                <w:sz w:val="20"/>
                <w:szCs w:val="20"/>
                <w:u w:val="none"/>
                <w:lang w:val="en-US" w:eastAsia="zh-CN" w:bidi="ar"/>
              </w:rPr>
              <w:t>转移支付（项目）名称</w:t>
            </w:r>
          </w:p>
        </w:tc>
        <w:tc>
          <w:tcPr>
            <w:tcW w:w="6199" w:type="dxa"/>
            <w:gridSpan w:val="8"/>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Cs/>
                <w:color w:val="000000"/>
                <w:kern w:val="0"/>
                <w:sz w:val="18"/>
                <w:szCs w:val="18"/>
                <w:highlight w:val="none"/>
                <w:lang w:eastAsia="zh-CN"/>
              </w:rPr>
            </w:pPr>
            <w:r>
              <w:rPr>
                <w:rFonts w:hint="eastAsia" w:ascii="黑体" w:hAnsi="黑体" w:eastAsia="黑体" w:cs="黑体"/>
                <w:bCs/>
                <w:color w:val="000000"/>
                <w:kern w:val="0"/>
                <w:sz w:val="18"/>
                <w:szCs w:val="18"/>
                <w:highlight w:val="none"/>
                <w:lang w:eastAsia="zh-CN"/>
              </w:rPr>
              <w:t>小型水库移民解困资金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2847" w:type="dxa"/>
            <w:gridSpan w:val="6"/>
            <w:shd w:val="clear" w:color="auto" w:fill="FFFFFF"/>
            <w:noWrap w:val="0"/>
            <w:vAlign w:val="center"/>
          </w:tcPr>
          <w:p>
            <w:pPr>
              <w:keepNext w:val="0"/>
              <w:keepLines w:val="0"/>
              <w:widowControl/>
              <w:suppressLineNumbers w:val="0"/>
              <w:spacing w:line="240" w:lineRule="auto"/>
              <w:jc w:val="center"/>
              <w:textAlignment w:val="center"/>
              <w:rPr>
                <w:rFonts w:hint="eastAsia" w:ascii="黑体" w:hAnsi="黑体" w:eastAsia="黑体" w:cs="黑体"/>
                <w:bCs/>
                <w:color w:val="000000"/>
                <w:kern w:val="0"/>
                <w:sz w:val="18"/>
                <w:szCs w:val="18"/>
                <w:highlight w:val="none"/>
              </w:rPr>
            </w:pPr>
            <w:r>
              <w:rPr>
                <w:rFonts w:hint="eastAsia" w:ascii="黑体" w:hAnsi="宋体" w:eastAsia="黑体" w:cs="黑体"/>
                <w:i w:val="0"/>
                <w:iCs w:val="0"/>
                <w:color w:val="000000"/>
                <w:kern w:val="0"/>
                <w:sz w:val="20"/>
                <w:szCs w:val="20"/>
                <w:u w:val="none"/>
                <w:lang w:val="en-US" w:eastAsia="zh-CN" w:bidi="ar"/>
              </w:rPr>
              <w:t>省级主管部门</w:t>
            </w:r>
          </w:p>
        </w:tc>
        <w:tc>
          <w:tcPr>
            <w:tcW w:w="6199" w:type="dxa"/>
            <w:gridSpan w:val="8"/>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blHeader/>
          <w:jc w:val="center"/>
        </w:trPr>
        <w:tc>
          <w:tcPr>
            <w:tcW w:w="1889" w:type="dxa"/>
            <w:gridSpan w:val="4"/>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Cs/>
                <w:color w:val="000000"/>
                <w:kern w:val="0"/>
                <w:sz w:val="18"/>
                <w:szCs w:val="18"/>
                <w:highlight w:val="none"/>
              </w:rPr>
            </w:pPr>
            <w:r>
              <w:rPr>
                <w:rFonts w:hint="eastAsia" w:ascii="黑体" w:hAnsi="宋体" w:eastAsia="黑体" w:cs="黑体"/>
                <w:i w:val="0"/>
                <w:iCs w:val="0"/>
                <w:color w:val="000000"/>
                <w:kern w:val="0"/>
                <w:sz w:val="20"/>
                <w:szCs w:val="20"/>
                <w:u w:val="none"/>
                <w:lang w:val="en-US" w:eastAsia="zh-CN" w:bidi="ar"/>
              </w:rPr>
              <w:t>地方主管部门</w:t>
            </w:r>
          </w:p>
        </w:tc>
        <w:tc>
          <w:tcPr>
            <w:tcW w:w="2481"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南昌市水利局</w:t>
            </w:r>
          </w:p>
        </w:tc>
        <w:tc>
          <w:tcPr>
            <w:tcW w:w="1531"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资金使用单位</w:t>
            </w:r>
          </w:p>
        </w:tc>
        <w:tc>
          <w:tcPr>
            <w:tcW w:w="3145" w:type="dxa"/>
            <w:gridSpan w:val="4"/>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南昌市水利局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2847" w:type="dxa"/>
            <w:gridSpan w:val="6"/>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r>
              <w:rPr>
                <w:rFonts w:hint="eastAsia" w:ascii="黑体" w:hAnsi="黑体" w:eastAsia="黑体" w:cs="黑体"/>
                <w:bCs/>
                <w:color w:val="000000"/>
                <w:kern w:val="0"/>
                <w:sz w:val="18"/>
                <w:szCs w:val="18"/>
                <w:highlight w:val="none"/>
              </w:rPr>
              <w:t>资金投入情况</w:t>
            </w:r>
          </w:p>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r>
              <w:rPr>
                <w:rFonts w:hint="eastAsia" w:ascii="黑体" w:hAnsi="黑体" w:eastAsia="黑体" w:cs="黑体"/>
                <w:bCs/>
                <w:color w:val="000000"/>
                <w:kern w:val="0"/>
                <w:sz w:val="18"/>
                <w:szCs w:val="18"/>
                <w:highlight w:val="none"/>
              </w:rPr>
              <w:t>（万元）</w:t>
            </w: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381"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全年预算数（A）</w:t>
            </w:r>
          </w:p>
        </w:tc>
        <w:tc>
          <w:tcPr>
            <w:tcW w:w="1381"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全年执行数（B）</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预算执行率（B/A*100%)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blHeader/>
          <w:jc w:val="center"/>
        </w:trPr>
        <w:tc>
          <w:tcPr>
            <w:tcW w:w="2847" w:type="dxa"/>
            <w:gridSpan w:val="6"/>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pP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年度资金总额：</w:t>
            </w:r>
          </w:p>
        </w:tc>
        <w:tc>
          <w:tcPr>
            <w:tcW w:w="1381"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175.00</w:t>
            </w:r>
          </w:p>
        </w:tc>
        <w:tc>
          <w:tcPr>
            <w:tcW w:w="1381"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175.00</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blHeader/>
          <w:jc w:val="center"/>
        </w:trPr>
        <w:tc>
          <w:tcPr>
            <w:tcW w:w="2847" w:type="dxa"/>
            <w:gridSpan w:val="6"/>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其中：省级财政资金</w:t>
            </w:r>
          </w:p>
        </w:tc>
        <w:tc>
          <w:tcPr>
            <w:tcW w:w="1381"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175.00</w:t>
            </w:r>
          </w:p>
        </w:tc>
        <w:tc>
          <w:tcPr>
            <w:tcW w:w="1381"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175.00</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2847" w:type="dxa"/>
            <w:gridSpan w:val="6"/>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地方资金</w:t>
            </w:r>
          </w:p>
        </w:tc>
        <w:tc>
          <w:tcPr>
            <w:tcW w:w="1381"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381"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2847" w:type="dxa"/>
            <w:gridSpan w:val="6"/>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其他资金</w:t>
            </w:r>
          </w:p>
        </w:tc>
        <w:tc>
          <w:tcPr>
            <w:tcW w:w="1381"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381"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847" w:type="dxa"/>
            <w:gridSpan w:val="6"/>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180" w:lineRule="exact"/>
              <w:jc w:val="center"/>
              <w:textAlignment w:val="auto"/>
              <w:rPr>
                <w:rFonts w:hint="eastAsia" w:ascii="黑体" w:hAnsi="黑体" w:eastAsia="黑体" w:cs="黑体"/>
                <w:bCs/>
                <w:color w:val="000000"/>
                <w:kern w:val="0"/>
                <w:sz w:val="18"/>
                <w:szCs w:val="18"/>
                <w:highlight w:val="none"/>
              </w:rPr>
            </w:pPr>
            <w:r>
              <w:rPr>
                <w:rFonts w:hint="eastAsia" w:ascii="黑体" w:hAnsi="黑体" w:eastAsia="黑体" w:cs="黑体"/>
                <w:bCs/>
                <w:color w:val="000000"/>
                <w:kern w:val="0"/>
                <w:sz w:val="18"/>
                <w:szCs w:val="18"/>
                <w:highlight w:val="none"/>
              </w:rPr>
              <w:t>资金管理情况</w:t>
            </w: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2762"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情况说明</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存在问题和改进措施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847" w:type="dxa"/>
            <w:gridSpan w:val="6"/>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分配科学性</w:t>
            </w:r>
          </w:p>
        </w:tc>
        <w:tc>
          <w:tcPr>
            <w:tcW w:w="2762"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按照转移支付管理制度以及资金管理办法规定的范围对小型水库移民解困资金进行分配资金。</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847" w:type="dxa"/>
            <w:gridSpan w:val="6"/>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下达及时性</w:t>
            </w:r>
          </w:p>
        </w:tc>
        <w:tc>
          <w:tcPr>
            <w:tcW w:w="2762"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严格按照规定时间及时下达完成。</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847" w:type="dxa"/>
            <w:gridSpan w:val="6"/>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拨付合规性</w:t>
            </w:r>
          </w:p>
        </w:tc>
        <w:tc>
          <w:tcPr>
            <w:tcW w:w="2762"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未出现违规将资金从国库转入财政专户或支付到预算单位实有资金账户等问题。</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847" w:type="dxa"/>
            <w:gridSpan w:val="6"/>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使用规范性</w:t>
            </w:r>
          </w:p>
        </w:tc>
        <w:tc>
          <w:tcPr>
            <w:tcW w:w="2762"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用于大中型水库移民，未出现截留、挤占、挪用或擅自调整等问题，完成率100%。</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847" w:type="dxa"/>
            <w:gridSpan w:val="6"/>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执行准确性</w:t>
            </w:r>
          </w:p>
        </w:tc>
        <w:tc>
          <w:tcPr>
            <w:tcW w:w="2762"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执行数100%，没有偏离预算数。</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847" w:type="dxa"/>
            <w:gridSpan w:val="6"/>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预算绩效管理情况</w:t>
            </w:r>
          </w:p>
        </w:tc>
        <w:tc>
          <w:tcPr>
            <w:tcW w:w="2762"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根据绩效管理办法，我局严格按照要求对所有转移支付资金进行入库，监控，及自评，实现资金绩效管理过程全覆盖。</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jc w:val="center"/>
        </w:trPr>
        <w:tc>
          <w:tcPr>
            <w:tcW w:w="2847" w:type="dxa"/>
            <w:gridSpan w:val="6"/>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523"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支出责任履行情况</w:t>
            </w:r>
          </w:p>
        </w:tc>
        <w:tc>
          <w:tcPr>
            <w:tcW w:w="2762"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在资金拨付、监管等方面，我局均严格按照项目资金管理办法，严格执行财务管理制度，财务处理及时、会计核算规范。</w:t>
            </w:r>
          </w:p>
        </w:tc>
        <w:tc>
          <w:tcPr>
            <w:tcW w:w="1914"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blHeader/>
          <w:jc w:val="center"/>
        </w:trPr>
        <w:tc>
          <w:tcPr>
            <w:tcW w:w="950"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总体目标完成情况</w:t>
            </w:r>
          </w:p>
        </w:tc>
        <w:tc>
          <w:tcPr>
            <w:tcW w:w="3420"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总体目标</w:t>
            </w:r>
          </w:p>
        </w:tc>
        <w:tc>
          <w:tcPr>
            <w:tcW w:w="4676" w:type="dxa"/>
            <w:gridSpan w:val="7"/>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blHeader/>
          <w:jc w:val="center"/>
        </w:trPr>
        <w:tc>
          <w:tcPr>
            <w:tcW w:w="95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3420" w:type="dxa"/>
            <w:gridSpan w:val="5"/>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确保我市小型水库移民解困资金及时发放到位，保障移民生命财产安全。</w:t>
            </w:r>
          </w:p>
        </w:tc>
        <w:tc>
          <w:tcPr>
            <w:tcW w:w="4676" w:type="dxa"/>
            <w:gridSpan w:val="7"/>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我市小型水库移民解困资金已及时发放到位，我局大力发展移民增收项目，增加移民人均收入，与当地农村居民平均水平差距持续缩小，改善移民居住环境，提升移民生产生活水平。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blHeader/>
          <w:jc w:val="center"/>
        </w:trPr>
        <w:tc>
          <w:tcPr>
            <w:tcW w:w="554" w:type="dxa"/>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绩效指标</w:t>
            </w:r>
          </w:p>
        </w:tc>
        <w:tc>
          <w:tcPr>
            <w:tcW w:w="64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一级指标</w:t>
            </w:r>
          </w:p>
        </w:tc>
        <w:tc>
          <w:tcPr>
            <w:tcW w:w="1330"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二级指标</w:t>
            </w:r>
          </w:p>
        </w:tc>
        <w:tc>
          <w:tcPr>
            <w:tcW w:w="2466" w:type="dxa"/>
            <w:gridSpan w:val="3"/>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三级指标</w:t>
            </w:r>
          </w:p>
        </w:tc>
        <w:tc>
          <w:tcPr>
            <w:tcW w:w="1200" w:type="dxa"/>
            <w:gridSpan w:val="3"/>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指标值</w:t>
            </w:r>
          </w:p>
        </w:tc>
        <w:tc>
          <w:tcPr>
            <w:tcW w:w="1103" w:type="dxa"/>
            <w:gridSpan w:val="2"/>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全年实际</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完成值</w:t>
            </w:r>
          </w:p>
        </w:tc>
        <w:tc>
          <w:tcPr>
            <w:tcW w:w="1750"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宋体" w:eastAsia="黑体" w:cs="黑体"/>
                <w:i w:val="0"/>
                <w:iCs w:val="0"/>
                <w:color w:val="000000"/>
                <w:kern w:val="0"/>
                <w:sz w:val="16"/>
                <w:szCs w:val="16"/>
                <w:u w:val="none"/>
                <w:lang w:val="en-US" w:eastAsia="zh-CN" w:bidi="ar"/>
              </w:rPr>
            </w:pPr>
            <w:r>
              <w:rPr>
                <w:rFonts w:hint="eastAsia" w:ascii="黑体" w:hAnsi="宋体" w:eastAsia="黑体" w:cs="黑体"/>
                <w:i w:val="0"/>
                <w:iCs w:val="0"/>
                <w:color w:val="000000"/>
                <w:kern w:val="0"/>
                <w:sz w:val="16"/>
                <w:szCs w:val="16"/>
                <w:u w:val="none"/>
                <w:lang w:val="en-US" w:eastAsia="zh-CN" w:bidi="ar"/>
              </w:rPr>
              <w:t>未完成原因和</w:t>
            </w:r>
            <w:r>
              <w:rPr>
                <w:rFonts w:hint="eastAsia" w:ascii="黑体" w:hAnsi="宋体" w:eastAsia="黑体" w:cs="黑体"/>
                <w:i w:val="0"/>
                <w:iCs w:val="0"/>
                <w:color w:val="000000"/>
                <w:kern w:val="0"/>
                <w:sz w:val="16"/>
                <w:szCs w:val="16"/>
                <w:u w:val="none"/>
                <w:lang w:val="en-US" w:eastAsia="zh-CN" w:bidi="ar"/>
              </w:rPr>
              <w:br w:type="textWrapping"/>
            </w:r>
            <w:r>
              <w:rPr>
                <w:rFonts w:hint="eastAsia" w:ascii="黑体" w:hAnsi="宋体" w:eastAsia="黑体" w:cs="黑体"/>
                <w:i w:val="0"/>
                <w:iCs w:val="0"/>
                <w:color w:val="000000"/>
                <w:kern w:val="0"/>
                <w:sz w:val="16"/>
                <w:szCs w:val="16"/>
                <w:u w:val="none"/>
                <w:lang w:val="en-US" w:eastAsia="zh-CN" w:bidi="ar"/>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产</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出</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标</w:t>
            </w:r>
          </w:p>
        </w:tc>
        <w:tc>
          <w:tcPr>
            <w:tcW w:w="1330"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数量指标</w:t>
            </w: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南昌市小型水库容量</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28687.06</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万平方米</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28687.06</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万平方米</w:t>
            </w:r>
          </w:p>
        </w:tc>
        <w:tc>
          <w:tcPr>
            <w:tcW w:w="175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南昌市小型水库座数</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464座</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464座</w:t>
            </w:r>
          </w:p>
        </w:tc>
        <w:tc>
          <w:tcPr>
            <w:tcW w:w="175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质量指标</w:t>
            </w: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项目验收合格率</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75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时效指标</w:t>
            </w: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小型水库移民解困资金下拨及时率</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75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成本指标</w:t>
            </w: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成本控制率</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75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效</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益</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指</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标</w:t>
            </w:r>
          </w:p>
        </w:tc>
        <w:tc>
          <w:tcPr>
            <w:tcW w:w="133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经济效益</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指标</w:t>
            </w: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无</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75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vMerge w:val="restart"/>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社会效益</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指标</w:t>
            </w: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与解困工作有关的非正常上访事件下降率</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75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13"/>
                <w:szCs w:val="1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pPr>
          </w:p>
        </w:tc>
        <w:tc>
          <w:tcPr>
            <w:tcW w:w="1330"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pP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当地农村居民收入增长率</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100%</w:t>
            </w:r>
          </w:p>
        </w:tc>
        <w:tc>
          <w:tcPr>
            <w:tcW w:w="175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生态效益</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指标</w:t>
            </w:r>
          </w:p>
        </w:tc>
        <w:tc>
          <w:tcPr>
            <w:tcW w:w="2466" w:type="dxa"/>
            <w:gridSpan w:val="3"/>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无</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75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p>
        </w:tc>
        <w:tc>
          <w:tcPr>
            <w:tcW w:w="133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可持续影响</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指标</w:t>
            </w:r>
          </w:p>
        </w:tc>
        <w:tc>
          <w:tcPr>
            <w:tcW w:w="2466" w:type="dxa"/>
            <w:gridSpan w:val="3"/>
            <w:shd w:val="clear" w:color="auto" w:fill="FFFFFF"/>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无</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w:t>
            </w:r>
          </w:p>
        </w:tc>
        <w:tc>
          <w:tcPr>
            <w:tcW w:w="175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blHeader/>
          <w:jc w:val="center"/>
        </w:trPr>
        <w:tc>
          <w:tcPr>
            <w:tcW w:w="554" w:type="dxa"/>
            <w:vMerge w:val="continue"/>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c>
          <w:tcPr>
            <w:tcW w:w="64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满意度</w:t>
            </w:r>
            <w:r>
              <w:rPr>
                <w:rFonts w:hint="eastAsia" w:ascii="黑体" w:hAnsi="宋体" w:eastAsia="黑体" w:cs="黑体"/>
                <w:i w:val="0"/>
                <w:iCs w:val="0"/>
                <w:color w:val="000000"/>
                <w:kern w:val="0"/>
                <w:sz w:val="20"/>
                <w:szCs w:val="20"/>
                <w:u w:val="none"/>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指标</w:t>
            </w:r>
          </w:p>
        </w:tc>
        <w:tc>
          <w:tcPr>
            <w:tcW w:w="1330"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服务对象</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满意度指标</w:t>
            </w:r>
          </w:p>
        </w:tc>
        <w:tc>
          <w:tcPr>
            <w:tcW w:w="2466"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移民满意度</w:t>
            </w:r>
          </w:p>
        </w:tc>
        <w:tc>
          <w:tcPr>
            <w:tcW w:w="1200" w:type="dxa"/>
            <w:gridSpan w:val="3"/>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≥95%</w:t>
            </w:r>
          </w:p>
        </w:tc>
        <w:tc>
          <w:tcPr>
            <w:tcW w:w="1103" w:type="dxa"/>
            <w:gridSpan w:val="2"/>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黑体" w:hAnsi="宋体" w:eastAsia="黑体" w:cs="黑体"/>
                <w:i w:val="0"/>
                <w:iCs w:val="0"/>
                <w:color w:val="000000"/>
                <w:kern w:val="0"/>
                <w:sz w:val="20"/>
                <w:szCs w:val="20"/>
                <w:u w:val="none"/>
                <w:lang w:val="en-US" w:eastAsia="zh-CN" w:bidi="ar"/>
              </w:rPr>
            </w:pPr>
            <w:r>
              <w:rPr>
                <w:rFonts w:hint="eastAsia" w:ascii="黑体" w:hAnsi="宋体" w:eastAsia="黑体" w:cs="黑体"/>
                <w:i w:val="0"/>
                <w:iCs w:val="0"/>
                <w:color w:val="000000"/>
                <w:kern w:val="0"/>
                <w:sz w:val="20"/>
                <w:szCs w:val="20"/>
                <w:u w:val="none"/>
                <w:lang w:val="en-US" w:eastAsia="zh-CN" w:bidi="ar"/>
              </w:rPr>
              <w:t>95</w:t>
            </w:r>
            <w:bookmarkStart w:id="0" w:name="_GoBack"/>
            <w:bookmarkEnd w:id="0"/>
            <w:r>
              <w:rPr>
                <w:rFonts w:hint="eastAsia" w:ascii="黑体" w:hAnsi="宋体" w:eastAsia="黑体" w:cs="黑体"/>
                <w:i w:val="0"/>
                <w:iCs w:val="0"/>
                <w:color w:val="000000"/>
                <w:kern w:val="0"/>
                <w:sz w:val="20"/>
                <w:szCs w:val="20"/>
                <w:u w:val="none"/>
                <w:lang w:val="en-US" w:eastAsia="zh-CN" w:bidi="ar"/>
              </w:rPr>
              <w:t>%</w:t>
            </w:r>
          </w:p>
        </w:tc>
        <w:tc>
          <w:tcPr>
            <w:tcW w:w="1750"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blHeader/>
          <w:jc w:val="center"/>
        </w:trPr>
        <w:tc>
          <w:tcPr>
            <w:tcW w:w="554" w:type="dxa"/>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说明</w:t>
            </w:r>
          </w:p>
        </w:tc>
        <w:tc>
          <w:tcPr>
            <w:tcW w:w="8492" w:type="dxa"/>
            <w:gridSpan w:val="13"/>
            <w:shd w:val="clear" w:color="auto" w:fill="FFFFFF"/>
            <w:noWrap w:val="0"/>
            <w:vAlign w:val="center"/>
          </w:tcPr>
          <w:p>
            <w:pPr>
              <w:keepNext w:val="0"/>
              <w:keepLines w:val="0"/>
              <w:pageBreakBefore w:val="0"/>
              <w:widowControl/>
              <w:tabs>
                <w:tab w:val="left" w:pos="438"/>
              </w:tabs>
              <w:kinsoku/>
              <w:wordWrap/>
              <w:overflowPunct/>
              <w:topLinePunct w:val="0"/>
              <w:autoSpaceDE/>
              <w:autoSpaceDN/>
              <w:bidi w:val="0"/>
              <w:adjustRightInd/>
              <w:snapToGrid/>
              <w:spacing w:line="240" w:lineRule="auto"/>
              <w:jc w:val="left"/>
              <w:textAlignment w:val="auto"/>
              <w:rPr>
                <w:rFonts w:hint="default" w:ascii="黑体" w:hAnsi="宋体" w:eastAsia="黑体" w:cs="黑体"/>
                <w:i w:val="0"/>
                <w:iCs w:val="0"/>
                <w:color w:val="000000"/>
                <w:kern w:val="0"/>
                <w:sz w:val="13"/>
                <w:szCs w:val="13"/>
                <w:u w:val="none"/>
                <w:lang w:val="en-US" w:eastAsia="zh-CN" w:bidi="ar"/>
              </w:rPr>
            </w:pPr>
            <w:r>
              <w:rPr>
                <w:rFonts w:hint="eastAsia" w:ascii="黑体" w:hAnsi="宋体" w:eastAsia="黑体" w:cs="黑体"/>
                <w:i w:val="0"/>
                <w:iCs w:val="0"/>
                <w:color w:val="000000"/>
                <w:kern w:val="0"/>
                <w:sz w:val="13"/>
                <w:szCs w:val="13"/>
                <w:u w:val="none"/>
                <w:lang w:val="en-US" w:eastAsia="zh-CN" w:bidi="ar"/>
              </w:rPr>
              <w:t>无</w:t>
            </w:r>
            <w:r>
              <w:rPr>
                <w:rFonts w:hint="eastAsia" w:ascii="黑体" w:hAnsi="宋体" w:eastAsia="黑体" w:cs="黑体"/>
                <w:i w:val="0"/>
                <w:iCs w:val="0"/>
                <w:color w:val="000000"/>
                <w:kern w:val="0"/>
                <w:sz w:val="13"/>
                <w:szCs w:val="13"/>
                <w:u w:val="none"/>
                <w:lang w:val="en-US" w:eastAsia="zh-CN" w:bidi="ar"/>
              </w:rPr>
              <w:tab/>
            </w:r>
          </w:p>
        </w:tc>
      </w:tr>
    </w:tbl>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黑体" w:hAnsi="宋体" w:eastAsia="黑体" w:cs="黑体"/>
          <w:b w:val="0"/>
          <w:bCs w:val="0"/>
          <w:i w:val="0"/>
          <w:iCs w:val="0"/>
          <w:color w:val="000000"/>
          <w:kern w:val="0"/>
          <w:sz w:val="15"/>
          <w:szCs w:val="15"/>
          <w:u w:val="none"/>
          <w:lang w:val="en-US" w:eastAsia="zh-CN" w:bidi="ar"/>
        </w:rPr>
      </w:pPr>
      <w:r>
        <w:rPr>
          <w:rFonts w:hint="default" w:ascii="黑体" w:hAnsi="宋体" w:eastAsia="黑体" w:cs="黑体"/>
          <w:b w:val="0"/>
          <w:bCs w:val="0"/>
          <w:i w:val="0"/>
          <w:iCs w:val="0"/>
          <w:color w:val="000000"/>
          <w:kern w:val="0"/>
          <w:sz w:val="15"/>
          <w:szCs w:val="15"/>
          <w:u w:val="none"/>
          <w:lang w:val="en-US" w:eastAsia="zh-CN" w:bidi="ar"/>
        </w:rPr>
        <w:t>注：1．资金使用单位按项目绩效目标填报，主管部门汇总时按区域绩效目标填报。</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黑体" w:hAnsi="宋体" w:eastAsia="黑体" w:cs="黑体"/>
          <w:b w:val="0"/>
          <w:bCs w:val="0"/>
          <w:i w:val="0"/>
          <w:iCs w:val="0"/>
          <w:color w:val="000000"/>
          <w:kern w:val="0"/>
          <w:sz w:val="15"/>
          <w:szCs w:val="15"/>
          <w:u w:val="none"/>
          <w:lang w:val="en-US" w:eastAsia="zh-CN" w:bidi="ar"/>
        </w:rPr>
      </w:pPr>
      <w:r>
        <w:rPr>
          <w:rFonts w:hint="default" w:ascii="黑体" w:hAnsi="宋体" w:eastAsia="黑体" w:cs="黑体"/>
          <w:b w:val="0"/>
          <w:bCs w:val="0"/>
          <w:i w:val="0"/>
          <w:iCs w:val="0"/>
          <w:color w:val="000000"/>
          <w:kern w:val="0"/>
          <w:sz w:val="15"/>
          <w:szCs w:val="15"/>
          <w:u w:val="none"/>
          <w:lang w:val="en-US" w:eastAsia="zh-CN" w:bidi="ar"/>
        </w:rPr>
        <w:t xml:space="preserve">    2. 其他资金包括与</w:t>
      </w:r>
      <w:r>
        <w:rPr>
          <w:rFonts w:hint="eastAsia" w:ascii="黑体" w:hAnsi="宋体" w:eastAsia="黑体" w:cs="黑体"/>
          <w:b w:val="0"/>
          <w:bCs w:val="0"/>
          <w:i w:val="0"/>
          <w:iCs w:val="0"/>
          <w:color w:val="000000"/>
          <w:kern w:val="0"/>
          <w:sz w:val="15"/>
          <w:szCs w:val="15"/>
          <w:u w:val="none"/>
          <w:lang w:val="en-US" w:eastAsia="zh-CN" w:bidi="ar"/>
        </w:rPr>
        <w:t>省级</w:t>
      </w:r>
      <w:r>
        <w:rPr>
          <w:rFonts w:hint="default" w:ascii="黑体" w:hAnsi="宋体" w:eastAsia="黑体" w:cs="黑体"/>
          <w:b w:val="0"/>
          <w:bCs w:val="0"/>
          <w:i w:val="0"/>
          <w:iCs w:val="0"/>
          <w:color w:val="000000"/>
          <w:kern w:val="0"/>
          <w:sz w:val="15"/>
          <w:szCs w:val="15"/>
          <w:u w:val="none"/>
          <w:lang w:val="en-US" w:eastAsia="zh-CN" w:bidi="ar"/>
        </w:rPr>
        <w:t>财政资金、地方财政资金共同投入到同一项目的自有资金、社会资金，以及以前年度的结转结余资金等。</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黑体" w:hAnsi="宋体" w:eastAsia="黑体" w:cs="黑体"/>
          <w:b w:val="0"/>
          <w:bCs w:val="0"/>
          <w:i w:val="0"/>
          <w:iCs w:val="0"/>
          <w:color w:val="000000"/>
          <w:kern w:val="0"/>
          <w:sz w:val="15"/>
          <w:szCs w:val="15"/>
          <w:u w:val="none"/>
          <w:lang w:val="en-US" w:eastAsia="zh-CN" w:bidi="ar"/>
        </w:rPr>
      </w:pPr>
      <w:r>
        <w:rPr>
          <w:rFonts w:hint="default" w:ascii="黑体" w:hAnsi="宋体" w:eastAsia="黑体" w:cs="黑体"/>
          <w:b w:val="0"/>
          <w:bCs w:val="0"/>
          <w:i w:val="0"/>
          <w:iCs w:val="0"/>
          <w:color w:val="000000"/>
          <w:kern w:val="0"/>
          <w:sz w:val="15"/>
          <w:szCs w:val="15"/>
          <w:u w:val="none"/>
          <w:lang w:val="en-US" w:eastAsia="zh-CN" w:bidi="ar"/>
        </w:rPr>
        <w:t xml:space="preserve">    3. 全年执行数是指按照国库集中支付制度要求所形成的实际支出。</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黑体" w:hAnsi="宋体" w:eastAsia="黑体" w:cs="黑体"/>
          <w:b w:val="0"/>
          <w:bCs w:val="0"/>
          <w:i w:val="0"/>
          <w:iCs w:val="0"/>
          <w:color w:val="000000"/>
          <w:kern w:val="0"/>
          <w:sz w:val="15"/>
          <w:szCs w:val="15"/>
          <w:u w:val="none"/>
          <w:lang w:val="en-US" w:eastAsia="zh-CN" w:bidi="ar"/>
        </w:rPr>
      </w:pPr>
      <w:r>
        <w:rPr>
          <w:rFonts w:hint="default" w:ascii="黑体" w:hAnsi="宋体" w:eastAsia="黑体" w:cs="黑体"/>
          <w:b w:val="0"/>
          <w:bCs w:val="0"/>
          <w:i w:val="0"/>
          <w:iCs w:val="0"/>
          <w:color w:val="000000"/>
          <w:kern w:val="0"/>
          <w:sz w:val="15"/>
          <w:szCs w:val="15"/>
          <w:u w:val="none"/>
          <w:lang w:val="en-US" w:eastAsia="zh-CN" w:bidi="ar"/>
        </w:rPr>
        <w:t>　　4．定量指标，地方各级主管部门对资金使用单位填写的实际完成值汇总时，绝对值直接累加计算;相对值采用区域或整体统计数据，不能采用区域或整体统计数据的，以区域或项目的资金量为权重进行加权平均计算。。</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黑体" w:hAnsi="宋体" w:eastAsia="黑体" w:cs="黑体"/>
          <w:b w:val="0"/>
          <w:bCs w:val="0"/>
          <w:i w:val="0"/>
          <w:iCs w:val="0"/>
          <w:color w:val="000000"/>
          <w:kern w:val="0"/>
          <w:sz w:val="15"/>
          <w:szCs w:val="15"/>
          <w:u w:val="none"/>
          <w:lang w:val="en-US" w:eastAsia="zh-CN" w:bidi="ar"/>
        </w:rPr>
      </w:pPr>
      <w:r>
        <w:rPr>
          <w:rFonts w:hint="default" w:ascii="黑体" w:hAnsi="宋体" w:eastAsia="黑体" w:cs="黑体"/>
          <w:b w:val="0"/>
          <w:bCs w:val="0"/>
          <w:i w:val="0"/>
          <w:iCs w:val="0"/>
          <w:color w:val="000000"/>
          <w:kern w:val="0"/>
          <w:sz w:val="15"/>
          <w:szCs w:val="15"/>
          <w:u w:val="none"/>
          <w:lang w:val="en-US" w:eastAsia="zh-CN" w:bidi="ar"/>
        </w:rPr>
        <w:t xml:space="preserve">  　5．定性指标，完成情况分为好，较好、一般、较差四挡，资金使用单位分别按照90%（含）-100%、80%（含）-90%、60（含）-80%、0%-60%合理填写实际完成值。主管部门汇总时，以区域或项目的资金量为权重加权平均计算完成值。   </w:t>
      </w:r>
    </w:p>
    <w:p>
      <w:pPr>
        <w:spacing w:line="536" w:lineRule="exact"/>
        <w:rPr>
          <w:sz w:val="36"/>
          <w:szCs w:val="36"/>
        </w:rPr>
      </w:pPr>
    </w:p>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6D7611"/>
    <w:multiLevelType w:val="singleLevel"/>
    <w:tmpl w:val="0F6D7611"/>
    <w:lvl w:ilvl="0" w:tentative="0">
      <w:start w:val="4"/>
      <w:numFmt w:val="chineseCounting"/>
      <w:suff w:val="nothing"/>
      <w:lvlText w:val="%1、"/>
      <w:lvlJc w:val="left"/>
      <w:rPr>
        <w:rFonts w:hint="eastAsia"/>
      </w:rPr>
    </w:lvl>
  </w:abstractNum>
  <w:abstractNum w:abstractNumId="1">
    <w:nsid w:val="2905BE04"/>
    <w:multiLevelType w:val="singleLevel"/>
    <w:tmpl w:val="2905BE04"/>
    <w:lvl w:ilvl="0" w:tentative="0">
      <w:start w:val="3"/>
      <w:numFmt w:val="chineseCounting"/>
      <w:suff w:val="nothing"/>
      <w:lvlText w:val="%1、"/>
      <w:lvlJc w:val="left"/>
      <w:rPr>
        <w:rFonts w:hint="eastAsia"/>
      </w:rPr>
    </w:lvl>
  </w:abstractNum>
  <w:abstractNum w:abstractNumId="2">
    <w:nsid w:val="736AB74C"/>
    <w:multiLevelType w:val="singleLevel"/>
    <w:tmpl w:val="736AB74C"/>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lZjUwMjA2MDdiMmU1MmE3YWMyMzA3YjUxYmNhYTEifQ=="/>
  </w:docVars>
  <w:rsids>
    <w:rsidRoot w:val="00072613"/>
    <w:rsid w:val="00072613"/>
    <w:rsid w:val="00553FCB"/>
    <w:rsid w:val="00834978"/>
    <w:rsid w:val="00902506"/>
    <w:rsid w:val="009C3769"/>
    <w:rsid w:val="01287090"/>
    <w:rsid w:val="05004729"/>
    <w:rsid w:val="07C853B7"/>
    <w:rsid w:val="09173EE8"/>
    <w:rsid w:val="1170063A"/>
    <w:rsid w:val="13277912"/>
    <w:rsid w:val="13D12EE6"/>
    <w:rsid w:val="14A625C4"/>
    <w:rsid w:val="25C67AB3"/>
    <w:rsid w:val="29480C68"/>
    <w:rsid w:val="30520C9F"/>
    <w:rsid w:val="34956851"/>
    <w:rsid w:val="3E390AF3"/>
    <w:rsid w:val="454F1FBC"/>
    <w:rsid w:val="46E33860"/>
    <w:rsid w:val="520408B3"/>
    <w:rsid w:val="64CA1F7B"/>
    <w:rsid w:val="7EB22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basedOn w:val="3"/>
    <w:autoRedefine/>
    <w:qFormat/>
    <w:uiPriority w:val="0"/>
    <w:pPr>
      <w:spacing w:after="120" w:line="240" w:lineRule="auto"/>
      <w:ind w:left="420" w:leftChars="200" w:firstLine="420" w:firstLineChars="200"/>
      <w:jc w:val="both"/>
    </w:pPr>
  </w:style>
  <w:style w:type="paragraph" w:customStyle="1" w:styleId="3">
    <w:name w:val="BodyTextIndent"/>
    <w:basedOn w:val="1"/>
    <w:autoRedefine/>
    <w:qFormat/>
    <w:uiPriority w:val="0"/>
    <w:pPr>
      <w:spacing w:after="120" w:line="240" w:lineRule="auto"/>
      <w:ind w:left="420" w:leftChars="200"/>
      <w:jc w:val="both"/>
    </w:pPr>
  </w:style>
  <w:style w:type="paragraph" w:styleId="4">
    <w:name w:val="Body Text"/>
    <w:basedOn w:val="1"/>
    <w:next w:val="5"/>
    <w:autoRedefine/>
    <w:unhideWhenUsed/>
    <w:qFormat/>
    <w:uiPriority w:val="99"/>
    <w:rPr>
      <w:rFonts w:ascii="仿宋" w:hAnsi="仿宋" w:cs="宋体"/>
      <w:sz w:val="28"/>
      <w:szCs w:val="28"/>
    </w:rPr>
  </w:style>
  <w:style w:type="paragraph" w:customStyle="1" w:styleId="5">
    <w:name w:val="Quote"/>
    <w:next w:val="1"/>
    <w:autoRedefine/>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6">
    <w:name w:val="footer"/>
    <w:basedOn w:val="1"/>
    <w:link w:val="17"/>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Message Header"/>
    <w:basedOn w:val="1"/>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9">
    <w:name w:val="Normal (Web)"/>
    <w:basedOn w:val="1"/>
    <w:qFormat/>
    <w:uiPriority w:val="0"/>
    <w:pPr>
      <w:widowControl/>
      <w:spacing w:before="100" w:beforeAutospacing="1" w:after="100" w:afterAutospacing="1"/>
      <w:jc w:val="left"/>
    </w:pPr>
    <w:rPr>
      <w:rFonts w:ascii="宋体" w:hAnsi="宋体" w:eastAsia="微软雅黑" w:cs="宋体"/>
      <w:kern w:val="0"/>
      <w:sz w:val="24"/>
    </w:rPr>
  </w:style>
  <w:style w:type="paragraph" w:styleId="10">
    <w:name w:val="Title"/>
    <w:basedOn w:val="1"/>
    <w:next w:val="1"/>
    <w:qFormat/>
    <w:uiPriority w:val="10"/>
    <w:pPr>
      <w:spacing w:before="240" w:after="60"/>
      <w:jc w:val="left"/>
      <w:outlineLvl w:val="0"/>
    </w:pPr>
    <w:rPr>
      <w:rFonts w:ascii="Cambria" w:hAnsi="Cambria" w:eastAsia="宋体" w:cs="Times New Roman"/>
      <w:b/>
      <w:bCs/>
      <w:sz w:val="28"/>
      <w:szCs w:val="32"/>
    </w:rPr>
  </w:style>
  <w:style w:type="paragraph" w:styleId="11">
    <w:name w:val="Body Text First Indent 2"/>
    <w:basedOn w:val="1"/>
    <w:qFormat/>
    <w:uiPriority w:val="99"/>
    <w:pPr>
      <w:ind w:left="420" w:leftChars="200" w:firstLine="210"/>
    </w:pPr>
  </w:style>
  <w:style w:type="paragraph" w:customStyle="1" w:styleId="14">
    <w:name w:val="p0"/>
    <w:basedOn w:val="1"/>
    <w:qFormat/>
    <w:uiPriority w:val="0"/>
    <w:pPr>
      <w:jc w:val="both"/>
    </w:pPr>
    <w:rPr>
      <w:rFonts w:ascii="Calibri" w:hAnsi="Calibri" w:cs="Times New Roman"/>
      <w:sz w:val="21"/>
      <w:szCs w:val="21"/>
    </w:rPr>
  </w:style>
  <w:style w:type="paragraph" w:customStyle="1" w:styleId="15">
    <w:name w:val="无间隔1"/>
    <w:autoRedefine/>
    <w:qFormat/>
    <w:uiPriority w:val="1"/>
    <w:pPr>
      <w:adjustRightInd w:val="0"/>
      <w:snapToGrid w:val="0"/>
    </w:pPr>
    <w:rPr>
      <w:rFonts w:ascii="Tahoma" w:hAnsi="Tahoma" w:eastAsia="微软雅黑" w:cs="Times New Roman"/>
      <w:sz w:val="22"/>
      <w:szCs w:val="22"/>
      <w:lang w:val="en-US" w:eastAsia="zh-CN" w:bidi="ar-SA"/>
    </w:rPr>
  </w:style>
  <w:style w:type="character" w:customStyle="1" w:styleId="16">
    <w:name w:val="页眉 Char"/>
    <w:basedOn w:val="13"/>
    <w:link w:val="7"/>
    <w:semiHidden/>
    <w:qFormat/>
    <w:uiPriority w:val="99"/>
    <w:rPr>
      <w:sz w:val="18"/>
      <w:szCs w:val="18"/>
    </w:rPr>
  </w:style>
  <w:style w:type="character" w:customStyle="1" w:styleId="17">
    <w:name w:val="页脚 Char"/>
    <w:basedOn w:val="13"/>
    <w:link w:val="6"/>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2468</Words>
  <Characters>2640</Characters>
  <Lines>3</Lines>
  <Paragraphs>1</Paragraphs>
  <TotalTime>0</TotalTime>
  <ScaleCrop>false</ScaleCrop>
  <LinksUpToDate>false</LinksUpToDate>
  <CharactersWithSpaces>2798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2023-04-07T05:05:00Z</dcterms:created>
  <dc:creator>彭承京</dc:creator>
  <cp:lastModifiedBy>233</cp:lastModifiedBy>
  <cp:lastPrinted>2023-04-10T06:24:00Z</cp:lastPrinted>
  <dcterms:modified xsi:type="dcterms:W3CDTF">2024-03-18T08:34:48Z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DB539570E61E4DE0B1633F1DFBCC4604_13</vt:lpwstr>
  </property>
</Properties>
</file>