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hAnsi="黑体" w:eastAsia="黑体" w:cs="黑体"/>
          <w:b/>
          <w:sz w:val="32"/>
          <w:szCs w:val="32"/>
        </w:rPr>
      </w:pPr>
      <w:r>
        <w:rPr>
          <w:rFonts w:hint="eastAsia" w:ascii="黑体" w:hAnsi="黑体" w:eastAsia="黑体" w:cs="黑体"/>
          <w:sz w:val="32"/>
          <w:szCs w:val="32"/>
        </w:rPr>
        <w:t>附件2：</w:t>
      </w:r>
    </w:p>
    <w:p>
      <w:pPr>
        <w:spacing w:line="536" w:lineRule="exact"/>
      </w:pPr>
    </w:p>
    <w:p>
      <w:pPr>
        <w:spacing w:line="53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南昌市水利救灾资金</w:t>
      </w:r>
    </w:p>
    <w:p>
      <w:pPr>
        <w:spacing w:line="53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2023年中央</w:t>
      </w:r>
      <w:r>
        <w:rPr>
          <w:rFonts w:hint="eastAsia" w:ascii="方正小标宋简体" w:hAnsi="方正小标宋简体" w:eastAsia="方正小标宋简体" w:cs="方正小标宋简体"/>
          <w:bCs/>
          <w:sz w:val="44"/>
          <w:szCs w:val="44"/>
        </w:rPr>
        <w:t>转移支付</w:t>
      </w:r>
      <w:r>
        <w:rPr>
          <w:rFonts w:hint="eastAsia" w:ascii="方正小标宋简体" w:hAnsi="方正小标宋简体" w:eastAsia="方正小标宋简体" w:cs="方正小标宋简体"/>
          <w:bCs/>
          <w:sz w:val="44"/>
          <w:szCs w:val="44"/>
          <w:lang w:val="en-US" w:eastAsia="zh-CN"/>
        </w:rPr>
        <w:t>资金</w:t>
      </w:r>
      <w:r>
        <w:rPr>
          <w:rFonts w:hint="eastAsia" w:ascii="方正小标宋简体" w:hAnsi="方正小标宋简体" w:eastAsia="方正小标宋简体" w:cs="方正小标宋简体"/>
          <w:bCs/>
          <w:sz w:val="44"/>
          <w:szCs w:val="44"/>
        </w:rPr>
        <w:t>绩效自评报告</w:t>
      </w:r>
    </w:p>
    <w:p>
      <w:pPr>
        <w:spacing w:line="536" w:lineRule="exact"/>
        <w:ind w:firstLine="640" w:firstLineChars="200"/>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根据《关于开展2023中央和省级转移支付预算执行情况绩效工作自评的预通知》要求，我局对2023年度中央转移支付资金进行了绩效自评，现将自评情况报告如下: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我局水利救灾资金2023年中央转移支付资金全年预算数为815万元，项目资金主要用于</w:t>
      </w:r>
      <w:r>
        <w:rPr>
          <w:rFonts w:hint="default" w:ascii="仿宋_GB2312" w:eastAsia="仿宋_GB2312"/>
          <w:sz w:val="32"/>
          <w:szCs w:val="32"/>
          <w:lang w:val="en-US" w:eastAsia="zh-CN"/>
        </w:rPr>
        <w:t>完成各项抢险救灾工程，保障旱区城乡群众基本生活用水。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2023年，经我局申请，南昌市财政局按程序下达中央转移支付资金(</w:t>
      </w:r>
      <w:r>
        <w:rPr>
          <w:rFonts w:hint="eastAsia" w:ascii="仿宋_GB2312" w:eastAsia="仿宋_GB2312"/>
          <w:sz w:val="32"/>
          <w:szCs w:val="32"/>
          <w:lang w:eastAsia="zh-CN"/>
        </w:rPr>
        <w:t>中央水利救灾资金</w:t>
      </w:r>
      <w:r>
        <w:rPr>
          <w:rFonts w:hint="eastAsia" w:ascii="仿宋_GB2312" w:eastAsia="仿宋_GB2312"/>
          <w:sz w:val="32"/>
          <w:szCs w:val="32"/>
          <w:lang w:val="en-US" w:eastAsia="zh-CN"/>
        </w:rPr>
        <w:t>)815万元</w:t>
      </w:r>
      <w:r>
        <w:rPr>
          <w:rFonts w:hint="eastAsia" w:ascii="仿宋_GB2312" w:eastAsia="仿宋_GB2312"/>
          <w:sz w:val="32"/>
          <w:szCs w:val="32"/>
          <w:lang w:eastAsia="zh-CN"/>
        </w:rPr>
        <w:t>，</w:t>
      </w:r>
      <w:r>
        <w:rPr>
          <w:rFonts w:hint="eastAsia" w:ascii="仿宋_GB2312" w:eastAsia="仿宋_GB2312"/>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在项目过程中，</w:t>
      </w:r>
      <w:r>
        <w:rPr>
          <w:rFonts w:hint="eastAsia" w:ascii="仿宋_GB2312" w:eastAsia="仿宋_GB2312"/>
          <w:sz w:val="32"/>
          <w:szCs w:val="32"/>
          <w:lang w:val="en-US" w:eastAsia="zh-CN"/>
        </w:rPr>
        <w:t>我局</w:t>
      </w:r>
      <w:r>
        <w:rPr>
          <w:rFonts w:hint="default" w:ascii="仿宋_GB2312" w:eastAsia="仿宋_GB2312"/>
          <w:sz w:val="32"/>
          <w:szCs w:val="32"/>
          <w:lang w:val="en-US" w:eastAsia="zh-CN"/>
        </w:rPr>
        <w:t>严格按照项目实施方案组织实施，足额配套落实自筹资金，</w:t>
      </w:r>
      <w:r>
        <w:rPr>
          <w:rFonts w:hint="eastAsia" w:ascii="仿宋_GB2312" w:eastAsia="仿宋_GB2312"/>
          <w:sz w:val="32"/>
          <w:szCs w:val="32"/>
          <w:lang w:eastAsia="zh-CN"/>
        </w:rPr>
        <w:t>中央水利救灾资金</w:t>
      </w:r>
      <w:r>
        <w:rPr>
          <w:rFonts w:hint="eastAsia" w:ascii="仿宋_GB2312" w:eastAsia="仿宋_GB2312"/>
          <w:sz w:val="32"/>
          <w:szCs w:val="32"/>
          <w:lang w:val="en-US" w:eastAsia="zh-CN"/>
        </w:rPr>
        <w:t>815</w:t>
      </w:r>
      <w:r>
        <w:rPr>
          <w:rFonts w:hint="default" w:ascii="仿宋_GB2312" w:eastAsia="仿宋_GB2312"/>
          <w:sz w:val="32"/>
          <w:szCs w:val="32"/>
          <w:lang w:val="en-US" w:eastAsia="zh-CN"/>
        </w:rPr>
        <w:t>万元已完成支付，项目资金执行率</w:t>
      </w:r>
      <w:r>
        <w:rPr>
          <w:rFonts w:hint="eastAsia" w:ascii="仿宋_GB2312" w:eastAsia="仿宋_GB2312"/>
          <w:sz w:val="32"/>
          <w:szCs w:val="32"/>
          <w:lang w:val="en-US" w:eastAsia="zh-CN"/>
        </w:rPr>
        <w:t>100%</w:t>
      </w:r>
      <w:r>
        <w:rPr>
          <w:rFonts w:hint="default"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认真严格按照资金使用管理办法要求，规范和加强专项资金管理，加强绩效目标绩效监控管理，提高财政资金使用绩效，实行专人管理、专账核算、专款专用，对建设项目严格按照计划和建设进度申请拨付和使用资金，严格按照财务管理制度相关规定，坚持履行规范的程序和手续，分期拨付、单据审核、办理报账，确保项目资金使用安全有效、确保了补助资金、财政配套资金和自筹资金运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val="0"/>
          <w:bCs/>
          <w:sz w:val="32"/>
          <w:szCs w:val="32"/>
          <w:lang w:val="en-US" w:eastAsia="zh-CN"/>
        </w:rPr>
        <w:t xml:space="preserve"> （三）</w:t>
      </w: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总体来看，我局</w:t>
      </w:r>
      <w:r>
        <w:rPr>
          <w:rFonts w:hint="eastAsia" w:ascii="仿宋_GB2312" w:eastAsia="仿宋_GB2312"/>
          <w:sz w:val="32"/>
          <w:szCs w:val="32"/>
          <w:lang w:eastAsia="zh-CN"/>
        </w:rPr>
        <w:t>中央水利救灾资金</w:t>
      </w:r>
      <w:r>
        <w:rPr>
          <w:rFonts w:hint="eastAsia" w:ascii="仿宋_GB2312" w:eastAsia="仿宋_GB2312"/>
          <w:sz w:val="32"/>
          <w:szCs w:val="32"/>
          <w:lang w:val="en-US" w:eastAsia="zh-CN"/>
        </w:rPr>
        <w:t>的项目实施情况和效果较好，通过</w:t>
      </w:r>
      <w:r>
        <w:rPr>
          <w:rFonts w:hint="default" w:ascii="仿宋_GB2312" w:eastAsia="仿宋_GB2312"/>
          <w:sz w:val="32"/>
          <w:szCs w:val="32"/>
          <w:lang w:val="en-US" w:eastAsia="zh-CN"/>
        </w:rPr>
        <w:t>各项抢险救灾工程</w:t>
      </w:r>
      <w:r>
        <w:rPr>
          <w:rFonts w:hint="eastAsia" w:ascii="仿宋_GB2312" w:eastAsia="仿宋_GB2312"/>
          <w:sz w:val="32"/>
          <w:szCs w:val="32"/>
          <w:lang w:val="en-US" w:eastAsia="zh-CN"/>
        </w:rPr>
        <w:t>的实施</w:t>
      </w:r>
      <w:r>
        <w:rPr>
          <w:rFonts w:hint="default" w:ascii="仿宋_GB2312" w:eastAsia="仿宋_GB2312"/>
          <w:sz w:val="32"/>
          <w:szCs w:val="32"/>
          <w:lang w:val="en-US" w:eastAsia="zh-CN"/>
        </w:rPr>
        <w:t>，</w:t>
      </w:r>
      <w:r>
        <w:rPr>
          <w:rFonts w:hint="eastAsia" w:ascii="仿宋_GB2312" w:eastAsia="仿宋_GB2312"/>
          <w:sz w:val="32"/>
          <w:szCs w:val="32"/>
          <w:lang w:val="en-US" w:eastAsia="zh-CN"/>
        </w:rPr>
        <w:t>有效</w:t>
      </w:r>
      <w:r>
        <w:rPr>
          <w:rFonts w:hint="default" w:ascii="仿宋_GB2312" w:eastAsia="仿宋_GB2312"/>
          <w:sz w:val="32"/>
          <w:szCs w:val="32"/>
          <w:lang w:val="en-US" w:eastAsia="zh-CN"/>
        </w:rPr>
        <w:t>保障</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旱区城乡群众基本生活用水</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b w:val="0"/>
          <w:bCs/>
          <w:sz w:val="32"/>
          <w:szCs w:val="32"/>
        </w:rPr>
      </w:pPr>
      <w:r>
        <w:rPr>
          <w:rFonts w:hint="eastAsia" w:ascii="楷体_GB2312" w:hAnsi="楷体_GB2312" w:eastAsia="楷体_GB2312" w:cs="楷体_GB2312"/>
          <w:b w:val="0"/>
          <w:bCs/>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完成堤防（护岸）水毁修复3处，工程施工通过验收，水毁修复验收合格率为100%；</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完成</w:t>
      </w:r>
      <w:r>
        <w:rPr>
          <w:rFonts w:hint="eastAsia" w:ascii="仿宋_GB2312" w:eastAsia="仿宋_GB2312"/>
          <w:sz w:val="32"/>
          <w:szCs w:val="32"/>
          <w:lang w:eastAsia="zh-CN"/>
        </w:rPr>
        <w:t>白蚁等害堤动物灾损整治</w:t>
      </w:r>
      <w:r>
        <w:rPr>
          <w:rFonts w:hint="eastAsia" w:ascii="仿宋_GB2312" w:eastAsia="仿宋_GB2312"/>
          <w:sz w:val="32"/>
          <w:szCs w:val="32"/>
          <w:lang w:val="en-US" w:eastAsia="zh-CN"/>
        </w:rPr>
        <w:t>10处，白蚁等害堤动物灾损整治开展率为100%；</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完成</w:t>
      </w:r>
      <w:r>
        <w:rPr>
          <w:rFonts w:hint="eastAsia" w:ascii="仿宋_GB2312" w:eastAsia="仿宋_GB2312"/>
          <w:sz w:val="32"/>
          <w:szCs w:val="32"/>
          <w:lang w:eastAsia="zh-CN"/>
        </w:rPr>
        <w:t>水利工程设施水毁修复数量</w:t>
      </w:r>
      <w:r>
        <w:rPr>
          <w:rFonts w:hint="eastAsia" w:ascii="仿宋_GB2312" w:eastAsia="仿宋_GB2312"/>
          <w:sz w:val="32"/>
          <w:szCs w:val="32"/>
          <w:lang w:val="en-US" w:eastAsia="zh-CN"/>
        </w:rPr>
        <w:t>4处，水毁水利工程修复验收合格率为100%。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经评价，2023年度中央水利救灾资金的产出数量、产出质量、产出时效等产出指标全部达标。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2023年来，全市水利部门坚决贯彻落实习近平总书记治水重要论述精神，认真学习贯彻党的二十大精神，扎实落实中央水利救灾资金的项目实施，加快水毁水利工程修复，抓好水旱灾害防御，有效</w:t>
      </w:r>
      <w:r>
        <w:rPr>
          <w:rFonts w:hint="default" w:ascii="仿宋_GB2312" w:eastAsia="仿宋_GB2312"/>
          <w:sz w:val="32"/>
          <w:szCs w:val="32"/>
          <w:lang w:val="en-US" w:eastAsia="zh-CN"/>
        </w:rPr>
        <w:t>保障</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旱区城乡群众基本生活用水</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偏离绩效目标的原因和下一步改进措施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无。</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切实加强绩效评价结果的分析和应用，将评价结果作为进一步完善和改进预算绩效管理的重要依据，并将本次绩效评价结果作为下一年度预算申报的重要参考依据。同时进一步加强预算资金管理，保障资金使用安全，提高资金使用效率，完善内部监督和控制制度，保证资金的合法性、安全性以及会计资料的真实性和完整性，确保部门履职履责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我局将在市财政局审核通过后公开2023年度中央转移支付资金绩效自评报告结果，主动接受社会监督。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无。</w:t>
      </w:r>
    </w:p>
    <w:p>
      <w:pPr>
        <w:pStyle w:val="5"/>
        <w:keepNext w:val="0"/>
        <w:keepLines w:val="0"/>
        <w:pageBreakBefore w:val="0"/>
        <w:kinsoku/>
        <w:overflowPunct/>
        <w:topLinePunct w:val="0"/>
        <w:autoSpaceDE/>
        <w:autoSpaceDN/>
        <w:bidi w:val="0"/>
        <w:spacing w:line="560" w:lineRule="exact"/>
        <w:textAlignment w:val="auto"/>
        <w:rPr>
          <w:rFonts w:hint="eastAsia" w:ascii="仿宋" w:hAnsi="仿宋" w:eastAsia="仿宋" w:cs="仿宋"/>
          <w:bCs/>
          <w:color w:val="FF0000"/>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Cs/>
          <w:color w:val="FF0000"/>
          <w:sz w:val="32"/>
          <w:szCs w:val="32"/>
          <w:lang w:val="en-US" w:eastAsia="zh-CN"/>
        </w:rPr>
      </w:pPr>
    </w:p>
    <w:p>
      <w:pPr>
        <w:pStyle w:val="4"/>
        <w:keepNext w:val="0"/>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auto"/>
          <w:sz w:val="32"/>
          <w:szCs w:val="32"/>
          <w:highlight w:val="none"/>
          <w:lang w:val="en-US" w:eastAsia="zh-CN"/>
        </w:rPr>
        <w:t>南昌市水利局</w:t>
      </w:r>
      <w:r>
        <w:rPr>
          <w:rFonts w:hint="eastAsia" w:ascii="仿宋" w:hAnsi="仿宋" w:eastAsia="仿宋" w:cs="仿宋"/>
          <w:bCs/>
          <w:color w:val="FF0000"/>
          <w:sz w:val="32"/>
          <w:szCs w:val="32"/>
        </w:rPr>
        <w:t xml:space="preserve">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spacing w:line="536" w:lineRule="exact"/>
        <w:rPr>
          <w:rFonts w:hint="eastAsia" w:ascii="黑体" w:hAnsi="黑体" w:eastAsia="黑体" w:cs="黑体"/>
          <w:bCs/>
          <w:color w:val="000000"/>
          <w:spacing w:val="40"/>
          <w:sz w:val="36"/>
          <w:szCs w:val="36"/>
          <w:lang w:val="en-US" w:eastAsia="zh-CN"/>
        </w:rPr>
      </w:pPr>
      <w:r>
        <w:rPr>
          <w:rFonts w:hint="eastAsia" w:ascii="黑体" w:hAnsi="黑体" w:eastAsia="黑体" w:cs="黑体"/>
          <w:bCs/>
          <w:sz w:val="32"/>
          <w:szCs w:val="32"/>
        </w:rPr>
        <w:t>六、附件</w:t>
      </w:r>
    </w:p>
    <w:p>
      <w:pPr>
        <w:pStyle w:val="15"/>
        <w:rPr>
          <w:rFonts w:hint="default" w:ascii="黑体" w:hAnsi="黑体" w:eastAsia="黑体" w:cs="黑体"/>
          <w:bCs/>
          <w:color w:val="000000"/>
          <w:spacing w:val="40"/>
          <w:sz w:val="36"/>
          <w:szCs w:val="36"/>
          <w:lang w:val="en-US" w:eastAsia="zh-CN"/>
        </w:rPr>
      </w:pPr>
    </w:p>
    <w:p>
      <w:pPr>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pacing w:val="40"/>
          <w:sz w:val="36"/>
          <w:szCs w:val="36"/>
          <w:lang w:eastAsia="zh-CN"/>
        </w:rPr>
        <w:t>中央</w:t>
      </w:r>
      <w:r>
        <w:rPr>
          <w:rFonts w:hint="eastAsia" w:ascii="黑体" w:hAnsi="黑体" w:eastAsia="黑体" w:cs="黑体"/>
          <w:bCs/>
          <w:color w:val="000000"/>
          <w:spacing w:val="40"/>
          <w:sz w:val="36"/>
          <w:szCs w:val="36"/>
        </w:rPr>
        <w:t xml:space="preserve">转移支付区域（项目）绩效目标自评表 </w:t>
      </w:r>
    </w:p>
    <w:tbl>
      <w:tblPr>
        <w:tblStyle w:val="1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73"/>
        <w:gridCol w:w="762"/>
        <w:gridCol w:w="638"/>
        <w:gridCol w:w="320"/>
        <w:gridCol w:w="1523"/>
        <w:gridCol w:w="397"/>
        <w:gridCol w:w="1134"/>
        <w:gridCol w:w="179"/>
        <w:gridCol w:w="1216"/>
        <w:gridCol w:w="42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2847" w:type="dxa"/>
            <w:gridSpan w:val="5"/>
            <w:shd w:val="clear" w:color="auto" w:fill="FFFFFF"/>
            <w:noWrap w:val="0"/>
            <w:vAlign w:val="center"/>
          </w:tcPr>
          <w:p>
            <w:pPr>
              <w:keepNext w:val="0"/>
              <w:keepLines w:val="0"/>
              <w:widowControl/>
              <w:suppressLineNumbers w:val="0"/>
              <w:spacing w:line="36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转移支付（项目）名称</w:t>
            </w:r>
          </w:p>
        </w:tc>
        <w:tc>
          <w:tcPr>
            <w:tcW w:w="6199"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lang w:eastAsia="zh-CN"/>
              </w:rPr>
            </w:pPr>
            <w:r>
              <w:rPr>
                <w:rFonts w:hint="eastAsia" w:ascii="黑体" w:hAnsi="黑体" w:eastAsia="黑体" w:cs="黑体"/>
                <w:bCs/>
                <w:color w:val="000000"/>
                <w:kern w:val="0"/>
                <w:sz w:val="18"/>
                <w:szCs w:val="18"/>
                <w:highlight w:val="none"/>
                <w:lang w:eastAsia="zh-CN"/>
              </w:rPr>
              <w:t>中央水利救灾资金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847" w:type="dxa"/>
            <w:gridSpan w:val="5"/>
            <w:shd w:val="clear" w:color="auto" w:fill="FFFFFF"/>
            <w:noWrap w:val="0"/>
            <w:vAlign w:val="center"/>
          </w:tcPr>
          <w:p>
            <w:pPr>
              <w:keepNext w:val="0"/>
              <w:keepLines w:val="0"/>
              <w:widowControl/>
              <w:suppressLineNumbers w:val="0"/>
              <w:spacing w:line="24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中央主管部门</w:t>
            </w:r>
          </w:p>
        </w:tc>
        <w:tc>
          <w:tcPr>
            <w:tcW w:w="6199"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889"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地方主管部门</w:t>
            </w:r>
          </w:p>
        </w:tc>
        <w:tc>
          <w:tcPr>
            <w:tcW w:w="24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资金使用单位</w:t>
            </w:r>
          </w:p>
        </w:tc>
        <w:tc>
          <w:tcPr>
            <w:tcW w:w="3145"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资金投入情况</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（万元）</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全年预算数（A）</w:t>
            </w:r>
          </w:p>
        </w:tc>
        <w:tc>
          <w:tcPr>
            <w:tcW w:w="182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全年执行数（B）</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预算执行率（B/A*100%)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年度资金总额：</w:t>
            </w: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815.00</w:t>
            </w:r>
          </w:p>
        </w:tc>
        <w:tc>
          <w:tcPr>
            <w:tcW w:w="182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815.00</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其中：中央财政资金</w:t>
            </w: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815.00</w:t>
            </w:r>
          </w:p>
        </w:tc>
        <w:tc>
          <w:tcPr>
            <w:tcW w:w="182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815.00</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地方资金</w:t>
            </w: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82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其他资金</w:t>
            </w:r>
          </w:p>
        </w:tc>
        <w:tc>
          <w:tcPr>
            <w:tcW w:w="15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82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资金管理情况</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335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情况说明</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分配科学性</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按照转移支付管理制度以及资金管理办法规定的范围对中央水利救灾资金进行分配资金。</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下达及时性</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严格按照规定时间及时下达完成。</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拨付合规性</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未出现违规将资金从国库转入财政专户或支付到</w:t>
            </w:r>
            <w:bookmarkStart w:id="0" w:name="_GoBack"/>
            <w:bookmarkEnd w:id="0"/>
            <w:r>
              <w:rPr>
                <w:rFonts w:hint="eastAsia" w:ascii="黑体" w:hAnsi="黑体" w:eastAsia="黑体" w:cs="黑体"/>
                <w:i w:val="0"/>
                <w:iCs w:val="0"/>
                <w:color w:val="000000"/>
                <w:kern w:val="0"/>
                <w:sz w:val="13"/>
                <w:szCs w:val="13"/>
                <w:u w:val="none"/>
                <w:lang w:val="en-US" w:eastAsia="zh-CN" w:bidi="ar"/>
              </w:rPr>
              <w:t>预算单位实有资金账户等问题。</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使用规范性</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用于中央水利救灾资金，未出现截留、挤占、挪用或擅自调整等问题，完成率100%。</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执行准确性</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执行数100%，没有偏离预算数。</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预算绩效管理情况</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根据绩效管理办法，我局严格按照要求对所有转移支付资金进行入库，监控，及自评，实现资金绩效管理过程全覆盖。</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支出责任履行情况</w:t>
            </w:r>
          </w:p>
        </w:tc>
        <w:tc>
          <w:tcPr>
            <w:tcW w:w="3352"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在资金拨付、监管等方面，我局均严格按照项目资金管理办法，严格执行财务管理制度，财务处理及时、会计核算规范。</w:t>
            </w:r>
          </w:p>
        </w:tc>
        <w:tc>
          <w:tcPr>
            <w:tcW w:w="132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1127"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总体目标完成情况</w:t>
            </w:r>
          </w:p>
        </w:tc>
        <w:tc>
          <w:tcPr>
            <w:tcW w:w="324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w:t>
            </w:r>
          </w:p>
        </w:tc>
        <w:tc>
          <w:tcPr>
            <w:tcW w:w="4676"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127"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24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开展江河洪水、渍涝、山洪地质灾害、风暴潮、台风、地震等灾害造成胡洪涝、干旱及引发的次生灾害的预防、控制和水利工程设施损毁修复。</w:t>
            </w:r>
          </w:p>
        </w:tc>
        <w:tc>
          <w:tcPr>
            <w:tcW w:w="4676"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中央水利救灾资金已及时发放到位，完成各项抢险救灾工程，保障旱区城乡群众基本生活用水。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55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绩效指标</w:t>
            </w:r>
          </w:p>
        </w:tc>
        <w:tc>
          <w:tcPr>
            <w:tcW w:w="5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一级指标</w:t>
            </w:r>
          </w:p>
        </w:tc>
        <w:tc>
          <w:tcPr>
            <w:tcW w:w="140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二级指标</w:t>
            </w:r>
          </w:p>
        </w:tc>
        <w:tc>
          <w:tcPr>
            <w:tcW w:w="224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三级指标</w:t>
            </w:r>
          </w:p>
        </w:tc>
        <w:tc>
          <w:tcPr>
            <w:tcW w:w="131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指标值</w:t>
            </w:r>
          </w:p>
        </w:tc>
        <w:tc>
          <w:tcPr>
            <w:tcW w:w="12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完成值</w:t>
            </w:r>
          </w:p>
        </w:tc>
        <w:tc>
          <w:tcPr>
            <w:tcW w:w="175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未完成原因和</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标</w:t>
            </w: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数量指标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堤防（护岸）水毁修复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数量</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3处</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3处</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白蚁等害堤动物灾损整治数量</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≥10处</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10处</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水利工程设施水毁修复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数量</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≥4处</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4处</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质量指标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工程施工设计标准</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符合规范</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符合规范</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工程施工监理</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符合规范</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符合规范</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工程施工验收</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通过验收</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通过验收</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白蚁等害堤动物灾损整治开展率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水毁水利工程修复验收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合格率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时效指标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资金下达到6个月内预算执行率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白蚁等害堤动物灾损整治及时率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水毁水利工程修复及时率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成本指标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城市防洪事务中心成本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南昌县成本控制率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新建区成本控制率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进贤县成本控制率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安义县成本控制率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东湖区成本控制率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经开区成本控制率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红谷滩区成本控制率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湾里管理局成本控制率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农业农村局（恒湖垦殖场）成本控制率</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效</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益</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指</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标</w:t>
            </w: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经济效益</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保障防洪工程安全度汛</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保障抗旱供水安全</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社会效益</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保障居民社会生活平稳</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保障旱区城乡群众基本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生活用水</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生态效益</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促进地区生态和谐发展</w:t>
            </w:r>
          </w:p>
        </w:tc>
        <w:tc>
          <w:tcPr>
            <w:tcW w:w="1313" w:type="dxa"/>
            <w:gridSpan w:val="2"/>
            <w:shd w:val="clear" w:color="auto" w:fill="FFFFFF"/>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100%</w:t>
            </w:r>
          </w:p>
        </w:tc>
        <w:tc>
          <w:tcPr>
            <w:tcW w:w="1216" w:type="dxa"/>
            <w:shd w:val="clear" w:color="auto" w:fill="FFFFFF"/>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100%</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57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满意度</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指标</w:t>
            </w:r>
          </w:p>
        </w:tc>
        <w:tc>
          <w:tcPr>
            <w:tcW w:w="140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服务对象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满意度指标</w:t>
            </w: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上级主管单位满意度</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服务群众满意度</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57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140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c>
          <w:tcPr>
            <w:tcW w:w="224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受益群众满意度</w:t>
            </w:r>
          </w:p>
        </w:tc>
        <w:tc>
          <w:tcPr>
            <w:tcW w:w="131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2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95%</w:t>
            </w:r>
          </w:p>
        </w:tc>
        <w:tc>
          <w:tcPr>
            <w:tcW w:w="175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5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说明</w:t>
            </w:r>
          </w:p>
        </w:tc>
        <w:tc>
          <w:tcPr>
            <w:tcW w:w="8492" w:type="dxa"/>
            <w:gridSpan w:val="11"/>
            <w:shd w:val="clear" w:color="auto" w:fill="FFFFFF"/>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240" w:lineRule="auto"/>
              <w:jc w:val="left"/>
              <w:textAlignment w:val="auto"/>
              <w:rPr>
                <w:rFonts w:hint="default"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无</w:t>
            </w:r>
            <w:r>
              <w:rPr>
                <w:rFonts w:hint="eastAsia" w:ascii="黑体" w:hAnsi="宋体" w:eastAsia="黑体" w:cs="黑体"/>
                <w:i w:val="0"/>
                <w:iCs w:val="0"/>
                <w:color w:val="000000"/>
                <w:kern w:val="0"/>
                <w:sz w:val="13"/>
                <w:szCs w:val="13"/>
                <w:u w:val="none"/>
                <w:lang w:val="en-US" w:eastAsia="zh-CN" w:bidi="ar"/>
              </w:rPr>
              <w:tab/>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注：1．资金使用单位按项目绩效目标填报，主管部门汇总时按区域绩效目标填报。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2. 其他资金包括与中央财政资金、地方财政资金共同投入到同一项目的自有资金、社会资金，以及以前年度的结转结余资金等。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3. 全年执行数是指按照国库集中支付制度要求所形成的实际支出。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4．定量指标，地方各级主管部门对资金使用单位填写的实际完成值汇总时，绝对值直接累加计算;相对值采用区域或整体统计数据，不能采用区域或整体统计数据的，以区域或项目的资金量为权重进行加权平均计算。。</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sz w:val="36"/>
          <w:szCs w:val="36"/>
          <w:lang w:eastAsia="zh-CN"/>
        </w:rPr>
      </w:pPr>
      <w:r>
        <w:rPr>
          <w:rFonts w:hint="default" w:ascii="黑体" w:hAnsi="宋体" w:eastAsia="黑体" w:cs="黑体"/>
          <w:b w:val="0"/>
          <w:bCs w:val="0"/>
          <w:i w:val="0"/>
          <w:iCs w:val="0"/>
          <w:color w:val="000000"/>
          <w:kern w:val="0"/>
          <w:sz w:val="15"/>
          <w:szCs w:val="15"/>
          <w:u w:val="none"/>
          <w:lang w:val="en-US" w:eastAsia="zh-CN" w:bidi="ar"/>
        </w:rPr>
        <w:t xml:space="preserve">  　5．定性指标，完成情况分为好，较好、一般、较差四挡，资金使用单位分别按照90%（含）-100%、80%（含）-90%、60（含）-80%、0%-60%合理填写实际完成值。主管部门汇总时，以区域或项目的资金量为权重加权平均计算完成值。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611"/>
    <w:multiLevelType w:val="singleLevel"/>
    <w:tmpl w:val="0F6D761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jUwMjA2MDdiMmU1MmE3YWMyMzA3YjUxYmNhYTEifQ=="/>
  </w:docVars>
  <w:rsids>
    <w:rsidRoot w:val="00072613"/>
    <w:rsid w:val="00072613"/>
    <w:rsid w:val="00553FCB"/>
    <w:rsid w:val="00834978"/>
    <w:rsid w:val="00902506"/>
    <w:rsid w:val="009C3769"/>
    <w:rsid w:val="01287090"/>
    <w:rsid w:val="07C853B7"/>
    <w:rsid w:val="09173EE8"/>
    <w:rsid w:val="13277912"/>
    <w:rsid w:val="13D12EE6"/>
    <w:rsid w:val="14A625C4"/>
    <w:rsid w:val="212D18A7"/>
    <w:rsid w:val="24AC3426"/>
    <w:rsid w:val="25C67AB3"/>
    <w:rsid w:val="2637753E"/>
    <w:rsid w:val="29480C68"/>
    <w:rsid w:val="2E746492"/>
    <w:rsid w:val="30520C9F"/>
    <w:rsid w:val="318756E2"/>
    <w:rsid w:val="34956851"/>
    <w:rsid w:val="3E390AF3"/>
    <w:rsid w:val="4C4F6262"/>
    <w:rsid w:val="5F2A3722"/>
    <w:rsid w:val="70B02319"/>
    <w:rsid w:val="74D064BA"/>
    <w:rsid w:val="769E21CE"/>
    <w:rsid w:val="7C784BD1"/>
    <w:rsid w:val="7D124E1E"/>
    <w:rsid w:val="7D53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pPr>
  </w:style>
  <w:style w:type="paragraph" w:customStyle="1" w:styleId="3">
    <w:name w:val="BodyTextIndent"/>
    <w:basedOn w:val="1"/>
    <w:qFormat/>
    <w:uiPriority w:val="0"/>
    <w:pPr>
      <w:spacing w:after="120" w:line="240" w:lineRule="auto"/>
      <w:ind w:left="420" w:leftChars="200"/>
      <w:jc w:val="both"/>
    </w:pPr>
  </w:style>
  <w:style w:type="paragraph" w:styleId="4">
    <w:name w:val="Body Text"/>
    <w:basedOn w:val="1"/>
    <w:next w:val="5"/>
    <w:autoRedefine/>
    <w:unhideWhenUsed/>
    <w:qFormat/>
    <w:uiPriority w:val="99"/>
    <w:rPr>
      <w:rFonts w:ascii="仿宋" w:hAnsi="仿宋" w:cs="宋体"/>
      <w:sz w:val="28"/>
      <w:szCs w:val="28"/>
    </w:rPr>
  </w:style>
  <w:style w:type="paragraph" w:customStyle="1" w:styleId="5">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6">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9">
    <w:name w:val="Normal (Web)"/>
    <w:basedOn w:val="1"/>
    <w:qFormat/>
    <w:uiPriority w:val="0"/>
    <w:pPr>
      <w:widowControl/>
      <w:spacing w:before="100" w:beforeAutospacing="1" w:after="100" w:afterAutospacing="1"/>
      <w:jc w:val="left"/>
    </w:pPr>
    <w:rPr>
      <w:rFonts w:ascii="宋体" w:hAnsi="宋体" w:eastAsia="微软雅黑" w:cs="宋体"/>
      <w:kern w:val="0"/>
      <w:sz w:val="24"/>
    </w:rPr>
  </w:style>
  <w:style w:type="paragraph" w:styleId="10">
    <w:name w:val="Title"/>
    <w:basedOn w:val="1"/>
    <w:next w:val="1"/>
    <w:autoRedefine/>
    <w:qFormat/>
    <w:uiPriority w:val="10"/>
    <w:pPr>
      <w:spacing w:before="240" w:after="60"/>
      <w:jc w:val="left"/>
      <w:outlineLvl w:val="0"/>
    </w:pPr>
    <w:rPr>
      <w:rFonts w:ascii="Cambria" w:hAnsi="Cambria" w:eastAsia="宋体" w:cs="Times New Roman"/>
      <w:b/>
      <w:bCs/>
      <w:sz w:val="28"/>
      <w:szCs w:val="32"/>
    </w:rPr>
  </w:style>
  <w:style w:type="paragraph" w:styleId="11">
    <w:name w:val="Body Text First Indent 2"/>
    <w:basedOn w:val="1"/>
    <w:qFormat/>
    <w:uiPriority w:val="99"/>
    <w:pPr>
      <w:ind w:left="420" w:leftChars="200" w:firstLine="210"/>
    </w:pPr>
  </w:style>
  <w:style w:type="paragraph" w:customStyle="1" w:styleId="14">
    <w:name w:val="p0"/>
    <w:basedOn w:val="1"/>
    <w:autoRedefine/>
    <w:qFormat/>
    <w:uiPriority w:val="0"/>
    <w:pPr>
      <w:jc w:val="both"/>
    </w:pPr>
    <w:rPr>
      <w:rFonts w:ascii="Calibri" w:hAnsi="Calibri" w:cs="Times New Roman"/>
      <w:sz w:val="21"/>
      <w:szCs w:val="21"/>
    </w:rPr>
  </w:style>
  <w:style w:type="paragraph" w:customStyle="1" w:styleId="15">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2838</Words>
  <Characters>3110</Characters>
  <Lines>3</Lines>
  <Paragraphs>1</Paragraphs>
  <TotalTime>8</TotalTime>
  <ScaleCrop>false</ScaleCrop>
  <LinksUpToDate>false</LinksUpToDate>
  <CharactersWithSpaces>3413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2023-04-07T05:05:00Z</dcterms:created>
  <dc:creator>彭承京</dc:creator>
  <cp:lastModifiedBy>233</cp:lastModifiedBy>
  <cp:lastPrinted>2023-04-10T06:24:00Z</cp:lastPrinted>
  <dcterms:modified xsi:type="dcterms:W3CDTF">2024-03-18T07:45:52Z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C9CE1E53D8DB44A2AD130695AAB3A043_13</vt:lpwstr>
  </property>
</Properties>
</file>