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hAnsi="黑体" w:eastAsia="黑体" w:cs="黑体"/>
          <w:b/>
          <w:sz w:val="32"/>
          <w:szCs w:val="32"/>
        </w:rPr>
      </w:pPr>
      <w:r>
        <w:rPr>
          <w:rFonts w:hint="eastAsia" w:ascii="黑体" w:hAnsi="黑体" w:eastAsia="黑体" w:cs="黑体"/>
          <w:sz w:val="32"/>
          <w:szCs w:val="32"/>
        </w:rPr>
        <w:t>附件2：</w:t>
      </w:r>
    </w:p>
    <w:p>
      <w:pPr>
        <w:spacing w:line="536" w:lineRule="exact"/>
      </w:pPr>
    </w:p>
    <w:p>
      <w:pPr>
        <w:spacing w:line="53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南昌市小型水库移民解困资金</w:t>
      </w:r>
    </w:p>
    <w:p>
      <w:pPr>
        <w:spacing w:line="53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2023年省级</w:t>
      </w:r>
      <w:r>
        <w:rPr>
          <w:rFonts w:hint="eastAsia" w:ascii="方正小标宋简体" w:hAnsi="方正小标宋简体" w:eastAsia="方正小标宋简体" w:cs="方正小标宋简体"/>
          <w:bCs/>
          <w:sz w:val="44"/>
          <w:szCs w:val="44"/>
        </w:rPr>
        <w:t>转移支付</w:t>
      </w:r>
      <w:r>
        <w:rPr>
          <w:rFonts w:hint="eastAsia" w:ascii="方正小标宋简体" w:hAnsi="方正小标宋简体" w:eastAsia="方正小标宋简体" w:cs="方正小标宋简体"/>
          <w:bCs/>
          <w:sz w:val="44"/>
          <w:szCs w:val="44"/>
          <w:lang w:val="en-US" w:eastAsia="zh-CN"/>
        </w:rPr>
        <w:t>资金</w:t>
      </w:r>
      <w:r>
        <w:rPr>
          <w:rFonts w:hint="eastAsia" w:ascii="方正小标宋简体" w:hAnsi="方正小标宋简体" w:eastAsia="方正小标宋简体" w:cs="方正小标宋简体"/>
          <w:bCs/>
          <w:sz w:val="44"/>
          <w:szCs w:val="44"/>
        </w:rPr>
        <w:t>绩效自评报告</w:t>
      </w:r>
    </w:p>
    <w:p>
      <w:pPr>
        <w:spacing w:line="536" w:lineRule="exact"/>
        <w:ind w:firstLine="640" w:firstLineChars="200"/>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按照《关于开展2023中央和省级转移支付预算执行情况绩效工作自评的预通知》要求，我局对2023年度省级和省级转移支付情况进行了自评，现将自评情况报告如下: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我局小型水库移民解困资金2023年省级转移支付资金全年预算数为175万元，全年实际到位175万元，资金到位率为100%，确保了2023年小型水库移民解困资金及时足额发放。项目资金主要用于</w:t>
      </w:r>
      <w:r>
        <w:rPr>
          <w:rFonts w:hint="default" w:ascii="仿宋_GB2312" w:eastAsia="仿宋_GB2312"/>
          <w:sz w:val="32"/>
          <w:szCs w:val="32"/>
          <w:lang w:val="en-US" w:eastAsia="zh-CN"/>
        </w:rPr>
        <w:t>全力推进贫困移民解困，大力发展移民增收项目，增加移民人均收入。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2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经我局申请，市财政局按程序下达省级转移支付资金（</w:t>
      </w:r>
      <w:r>
        <w:rPr>
          <w:rFonts w:hint="eastAsia" w:ascii="仿宋_GB2312" w:eastAsia="仿宋_GB2312"/>
          <w:sz w:val="32"/>
          <w:szCs w:val="32"/>
          <w:lang w:eastAsia="zh-CN"/>
        </w:rPr>
        <w:t>小型水库移民解困资金），</w:t>
      </w:r>
      <w:r>
        <w:rPr>
          <w:rFonts w:hint="eastAsia" w:ascii="仿宋_GB2312" w:eastAsia="仿宋_GB2312"/>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在项目过程中，</w:t>
      </w:r>
      <w:r>
        <w:rPr>
          <w:rFonts w:hint="eastAsia" w:ascii="仿宋_GB2312" w:eastAsia="仿宋_GB2312"/>
          <w:sz w:val="32"/>
          <w:szCs w:val="32"/>
          <w:lang w:val="en-US" w:eastAsia="zh-CN"/>
        </w:rPr>
        <w:t>我局</w:t>
      </w:r>
      <w:r>
        <w:rPr>
          <w:rFonts w:hint="default" w:ascii="仿宋_GB2312" w:eastAsia="仿宋_GB2312"/>
          <w:sz w:val="32"/>
          <w:szCs w:val="32"/>
          <w:lang w:val="en-US" w:eastAsia="zh-CN"/>
        </w:rPr>
        <w:t>严格按照项目实施方案组织实施，足额配套落实自筹资金，</w:t>
      </w:r>
      <w:r>
        <w:rPr>
          <w:rFonts w:hint="eastAsia" w:ascii="仿宋_GB2312" w:eastAsia="仿宋_GB2312"/>
          <w:sz w:val="32"/>
          <w:szCs w:val="32"/>
          <w:lang w:eastAsia="zh-CN"/>
        </w:rPr>
        <w:t>小型水库移民解困资金</w:t>
      </w:r>
      <w:r>
        <w:rPr>
          <w:rFonts w:hint="eastAsia" w:ascii="仿宋_GB2312" w:eastAsia="仿宋_GB2312"/>
          <w:sz w:val="32"/>
          <w:szCs w:val="32"/>
          <w:lang w:val="en-US" w:eastAsia="zh-CN"/>
        </w:rPr>
        <w:t>175</w:t>
      </w:r>
      <w:r>
        <w:rPr>
          <w:rFonts w:hint="default" w:ascii="仿宋_GB2312" w:eastAsia="仿宋_GB2312"/>
          <w:sz w:val="32"/>
          <w:szCs w:val="32"/>
          <w:lang w:val="en-US" w:eastAsia="zh-CN"/>
        </w:rPr>
        <w:t>万元已完成支付，项目资金执行率100%。</w:t>
      </w:r>
    </w:p>
    <w:p>
      <w:pPr>
        <w:keepNext w:val="0"/>
        <w:keepLines w:val="0"/>
        <w:pageBreakBefore w:val="0"/>
        <w:widowControl w:val="0"/>
        <w:kinsoku/>
        <w:wordWrap/>
        <w:overflowPunct/>
        <w:topLinePunct w:val="0"/>
        <w:autoSpaceDE/>
        <w:autoSpaceDN/>
        <w:bidi w:val="0"/>
        <w:adjustRightInd/>
        <w:snapToGrid/>
        <w:spacing w:line="520" w:lineRule="exact"/>
        <w:ind w:firstLine="464" w:firstLineChars="150"/>
        <w:textAlignment w:val="auto"/>
        <w:rPr>
          <w:rFonts w:hint="eastAsia" w:ascii="楷体_GB2312" w:hAnsi="楷体_GB2312" w:eastAsia="楷体_GB2312" w:cs="楷体_GB2312"/>
          <w:b/>
          <w:spacing w:val="-6"/>
          <w:sz w:val="32"/>
          <w:szCs w:val="32"/>
        </w:rPr>
      </w:pPr>
      <w:r>
        <w:rPr>
          <w:rFonts w:hint="eastAsia" w:ascii="楷体_GB2312" w:hAnsi="楷体_GB2312" w:eastAsia="楷体_GB2312" w:cs="楷体_GB2312"/>
          <w:b/>
          <w:spacing w:val="-6"/>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认真严格按照资金使用管理办法要求，规范和加强专项资金管理，加强绩效目标绩效监控管理，提高财政资金使用绩效，实行专人管理、专账核算、专款专用。建设单位项目按照计划和建设进度申请拨付使用资金，按照财务管理制度规定，坚持履行规定的程序和手续，分期拨付、单据审核、办理报账，确保项目资金使用安全有效、确保了补助资金、财政配套资金和自筹资金运行安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15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总体来看，我局</w:t>
      </w:r>
      <w:r>
        <w:rPr>
          <w:rFonts w:hint="eastAsia" w:ascii="仿宋_GB2312" w:eastAsia="仿宋_GB2312"/>
          <w:sz w:val="32"/>
          <w:szCs w:val="32"/>
          <w:lang w:eastAsia="zh-CN"/>
        </w:rPr>
        <w:t>小型水库库区及移民安置区生产生活条件和基础设施改善建设工作</w:t>
      </w:r>
      <w:r>
        <w:rPr>
          <w:rFonts w:hint="default" w:ascii="仿宋_GB2312" w:eastAsia="仿宋_GB2312"/>
          <w:sz w:val="32"/>
          <w:szCs w:val="32"/>
          <w:lang w:val="en-US" w:eastAsia="zh-CN"/>
        </w:rPr>
        <w:t>工作</w:t>
      </w:r>
      <w:r>
        <w:rPr>
          <w:rFonts w:hint="eastAsia" w:ascii="仿宋_GB2312" w:eastAsia="仿宋_GB2312"/>
          <w:sz w:val="32"/>
          <w:szCs w:val="32"/>
          <w:lang w:val="en-US" w:eastAsia="zh-CN"/>
        </w:rPr>
        <w:t>完成较好，绩效目标完成率100%。我局大力发展移民增收项目，增加移民人均收入，与当地农村居民平均水平差距持续缩小，改善移民居住环境，提升移民生产生活水平。</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150"/>
        <w:textAlignment w:val="auto"/>
        <w:rPr>
          <w:rFonts w:hint="eastAsia" w:ascii="仿宋_GB2312" w:eastAsia="仿宋_GB2312"/>
          <w:sz w:val="32"/>
          <w:szCs w:val="32"/>
        </w:rPr>
      </w:pPr>
      <w:r>
        <w:rPr>
          <w:rFonts w:hint="eastAsia" w:ascii="楷体_GB2312" w:hAnsi="楷体_GB2312" w:eastAsia="楷体_GB2312" w:cs="楷体_GB2312"/>
          <w:b/>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完成新增小型水库容量28687.06万平方米，新增小型水库464座，工程质量合格率为100%，截至当年底项目已完成完工验收。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经评价，2023年度小型水库移民解困资金的产出数量、产出质量、产出时效等产出指标基本达标。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2.效益指标完成情况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来，全市水利部门坚决贯彻落实习近平总书记治水重要论述精神，深入践行习近平总书记“节水优先、空间均衡、系统治理、两手发力”治水思路，认真学习贯彻党的二十大精神，扎实落实强省会战略和水利高质量发展战略部署，加快重大水利项目建设，抓好水旱灾害防御、水生态文明建设和水利建设、管理、改革等各项工作，推动新阶段水利高质量发展迈出坚实步伐。</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偏离绩效目标的原因和下一步改进措施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无</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切实加强绩效评价结果的分析和应用，将评价结果作为进一步完善和改进预算绩效管理的重要依据，并将本次绩效评价结果作为下一年度预算申报的重要参考依据。同时进一步加强预算资金管理，保障资金使用安全，提高资金使用效率，完善内部监督和控制制度，保证资金的合法性、安全性以及会计资料的真实性和完整性，确保部门履职履责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我局将在区财政局审核通过后公开2023年度省级转移支付资金绩效自评报告结果，主动接受社会监督。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无。</w:t>
      </w:r>
    </w:p>
    <w:p>
      <w:pPr>
        <w:pStyle w:val="5"/>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color w:val="FF0000"/>
          <w:sz w:val="32"/>
          <w:szCs w:val="32"/>
          <w:lang w:val="en-US" w:eastAsia="zh-CN"/>
        </w:rPr>
      </w:pPr>
    </w:p>
    <w:p>
      <w:pPr>
        <w:rPr>
          <w:rFonts w:hint="eastAsia" w:ascii="仿宋" w:hAnsi="仿宋" w:eastAsia="仿宋" w:cs="仿宋"/>
          <w:bCs/>
          <w:color w:val="FF0000"/>
          <w:sz w:val="32"/>
          <w:szCs w:val="32"/>
          <w:lang w:val="en-US" w:eastAsia="zh-CN"/>
        </w:rPr>
      </w:pPr>
    </w:p>
    <w:p>
      <w:pPr>
        <w:pStyle w:val="4"/>
        <w:rPr>
          <w:rFonts w:hint="eastAsia"/>
          <w:lang w:val="en-US" w:eastAsia="zh-CN"/>
        </w:rPr>
      </w:pPr>
    </w:p>
    <w:p>
      <w:pPr>
        <w:keepNext w:val="0"/>
        <w:keepLines w:val="0"/>
        <w:pageBreakBefore w:val="0"/>
        <w:kinsoku/>
        <w:wordWrap/>
        <w:overflowPunct/>
        <w:topLinePunct w:val="0"/>
        <w:autoSpaceDE/>
        <w:autoSpaceDN/>
        <w:bidi w:val="0"/>
        <w:adjustRightInd/>
        <w:snapToGrid/>
        <w:spacing w:line="480" w:lineRule="exact"/>
        <w:ind w:firstLine="4800" w:firstLineChars="15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auto"/>
          <w:sz w:val="32"/>
          <w:szCs w:val="32"/>
          <w:highlight w:val="none"/>
          <w:lang w:val="en-US" w:eastAsia="zh-CN"/>
        </w:rPr>
        <w:t>南昌市水利局</w:t>
      </w:r>
      <w:r>
        <w:rPr>
          <w:rFonts w:hint="eastAsia" w:ascii="仿宋" w:hAnsi="仿宋" w:eastAsia="仿宋" w:cs="仿宋"/>
          <w:bCs/>
          <w:color w:val="FF0000"/>
          <w:sz w:val="32"/>
          <w:szCs w:val="32"/>
        </w:rPr>
        <w:t xml:space="preserve">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spacing w:line="536" w:lineRule="exact"/>
        <w:rPr>
          <w:rFonts w:hint="eastAsia" w:ascii="黑体" w:hAnsi="黑体" w:eastAsia="黑体" w:cs="黑体"/>
          <w:bCs/>
          <w:color w:val="000000"/>
          <w:spacing w:val="40"/>
          <w:sz w:val="36"/>
          <w:szCs w:val="36"/>
          <w:lang w:val="en-US" w:eastAsia="zh-CN"/>
        </w:rPr>
      </w:pPr>
      <w:r>
        <w:rPr>
          <w:rFonts w:hint="eastAsia" w:ascii="黑体" w:hAnsi="黑体" w:eastAsia="黑体" w:cs="黑体"/>
          <w:bCs/>
          <w:sz w:val="32"/>
          <w:szCs w:val="32"/>
        </w:rPr>
        <w:t>六、附件</w:t>
      </w:r>
    </w:p>
    <w:p>
      <w:pPr>
        <w:pStyle w:val="15"/>
        <w:rPr>
          <w:rFonts w:hint="default" w:ascii="黑体" w:hAnsi="黑体" w:eastAsia="黑体" w:cs="黑体"/>
          <w:bCs/>
          <w:color w:val="000000"/>
          <w:spacing w:val="40"/>
          <w:sz w:val="36"/>
          <w:szCs w:val="36"/>
          <w:lang w:val="en-US" w:eastAsia="zh-CN"/>
        </w:rPr>
      </w:pPr>
    </w:p>
    <w:p>
      <w:pPr>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pacing w:val="40"/>
          <w:sz w:val="36"/>
          <w:szCs w:val="36"/>
          <w:lang w:eastAsia="zh-CN"/>
        </w:rPr>
        <w:t>省级</w:t>
      </w:r>
      <w:r>
        <w:rPr>
          <w:rFonts w:hint="eastAsia" w:ascii="黑体" w:hAnsi="黑体" w:eastAsia="黑体" w:cs="黑体"/>
          <w:bCs/>
          <w:color w:val="000000"/>
          <w:spacing w:val="40"/>
          <w:sz w:val="36"/>
          <w:szCs w:val="36"/>
        </w:rPr>
        <w:t xml:space="preserve">转移支付区域（项目）绩效目标自评表 </w:t>
      </w:r>
    </w:p>
    <w:tbl>
      <w:tblPr>
        <w:tblStyle w:val="1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96"/>
        <w:gridCol w:w="247"/>
        <w:gridCol w:w="692"/>
        <w:gridCol w:w="638"/>
        <w:gridCol w:w="320"/>
        <w:gridCol w:w="1523"/>
        <w:gridCol w:w="623"/>
        <w:gridCol w:w="758"/>
        <w:gridCol w:w="150"/>
        <w:gridCol w:w="292"/>
        <w:gridCol w:w="939"/>
        <w:gridCol w:w="16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2847" w:type="dxa"/>
            <w:gridSpan w:val="6"/>
            <w:shd w:val="clear" w:color="auto" w:fill="FFFFFF"/>
            <w:noWrap w:val="0"/>
            <w:vAlign w:val="center"/>
          </w:tcPr>
          <w:p>
            <w:pPr>
              <w:keepNext w:val="0"/>
              <w:keepLines w:val="0"/>
              <w:widowControl/>
              <w:suppressLineNumbers w:val="0"/>
              <w:spacing w:line="36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转移支付（项目）名称</w:t>
            </w:r>
          </w:p>
        </w:tc>
        <w:tc>
          <w:tcPr>
            <w:tcW w:w="6199"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lang w:eastAsia="zh-CN"/>
              </w:rPr>
            </w:pPr>
            <w:r>
              <w:rPr>
                <w:rFonts w:hint="eastAsia" w:ascii="黑体" w:hAnsi="黑体" w:eastAsia="黑体" w:cs="黑体"/>
                <w:bCs/>
                <w:color w:val="000000"/>
                <w:kern w:val="0"/>
                <w:sz w:val="18"/>
                <w:szCs w:val="18"/>
                <w:highlight w:val="none"/>
                <w:lang w:eastAsia="zh-CN"/>
              </w:rPr>
              <w:t>小型水库移民解困资金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847" w:type="dxa"/>
            <w:gridSpan w:val="6"/>
            <w:shd w:val="clear" w:color="auto" w:fill="FFFFFF"/>
            <w:noWrap w:val="0"/>
            <w:vAlign w:val="center"/>
          </w:tcPr>
          <w:p>
            <w:pPr>
              <w:keepNext w:val="0"/>
              <w:keepLines w:val="0"/>
              <w:widowControl/>
              <w:suppressLineNumbers w:val="0"/>
              <w:spacing w:line="24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省级主管部门</w:t>
            </w:r>
          </w:p>
        </w:tc>
        <w:tc>
          <w:tcPr>
            <w:tcW w:w="6199"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889"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地方主管部门</w:t>
            </w:r>
          </w:p>
        </w:tc>
        <w:tc>
          <w:tcPr>
            <w:tcW w:w="24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c>
          <w:tcPr>
            <w:tcW w:w="153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资金使用单位</w:t>
            </w:r>
          </w:p>
        </w:tc>
        <w:tc>
          <w:tcPr>
            <w:tcW w:w="3145"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资金投入情况</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（万元）</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全年预算数（A）</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全年执行数（B）</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预算执行率（B/A*100%)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年度资金总额：</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175.00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175.00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其中：省级财政资金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175.00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175.00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地方资金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资金管理情况</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情况说明</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分配科学性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按照转移支付管理制度以及资金管理办法规定的范围对小型水库移民解困资金进行分配资金。</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下达及时性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严格按照规定时间及时下达完成。</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拨付合规性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未出现违规将资金从国库转入财政专户或支付到预算单位实有资金账户等问题。</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使用规范性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用于大中型水库移民，未出现截留、挤占、挪用或擅自调整等问题，完成率100%。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执行准确性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执行数100%，没有偏离预算数。</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预算绩效管理情况</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根据绩效管理办法，我局严格按照要求对所有转移支付资金进行入库，监控，及自评，实现资金绩效管理过程全覆盖。</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支出责任履行情况</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在资金拨付、监管等方面，我局均严格按照项目资金管理办法，严格执行财务管理制度，财务处理及时、会计核算规范。</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95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总体目标完成情况</w:t>
            </w:r>
          </w:p>
        </w:tc>
        <w:tc>
          <w:tcPr>
            <w:tcW w:w="3420"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w:t>
            </w:r>
          </w:p>
        </w:tc>
        <w:tc>
          <w:tcPr>
            <w:tcW w:w="467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95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420"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确保我市小型水库移民解困资金及时发放到位，保障移民生命财产安全。</w:t>
            </w:r>
          </w:p>
        </w:tc>
        <w:tc>
          <w:tcPr>
            <w:tcW w:w="467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我市小型水库移民解困资金已及时发放到位，我局大力发展移民增收项目，增加移民人均收入，与当地农村居民平均水平差距持续缩小，改善移民居住环境，提升移民生产生活水平。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55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绩效指标</w:t>
            </w:r>
          </w:p>
        </w:tc>
        <w:tc>
          <w:tcPr>
            <w:tcW w:w="64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一级指标</w:t>
            </w:r>
          </w:p>
        </w:tc>
        <w:tc>
          <w:tcPr>
            <w:tcW w:w="133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二级指标</w:t>
            </w:r>
          </w:p>
        </w:tc>
        <w:tc>
          <w:tcPr>
            <w:tcW w:w="2466"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三级指标</w:t>
            </w:r>
          </w:p>
        </w:tc>
        <w:tc>
          <w:tcPr>
            <w:tcW w:w="120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指标值</w:t>
            </w:r>
          </w:p>
        </w:tc>
        <w:tc>
          <w:tcPr>
            <w:tcW w:w="11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完成值</w:t>
            </w:r>
          </w:p>
        </w:tc>
        <w:tc>
          <w:tcPr>
            <w:tcW w:w="175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未完成原因和</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南昌市小型水库容量</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28687.06</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万平方米</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28687.06</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万平方米</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南昌市小型水库座数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464座</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464座</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质量指标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项目验收合格率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时效指标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小型水库移民解困资金下拨及时率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成本控制率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效</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经济效益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社会效益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与解困工作有关的非正常上访事件下降率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当地农村居民收入增长率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生态效益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可持续影响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服务对象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移民满意度</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bookmarkStart w:id="0" w:name="_GoBack"/>
            <w:bookmarkEnd w:id="0"/>
            <w:r>
              <w:rPr>
                <w:rFonts w:hint="eastAsia" w:ascii="黑体" w:hAnsi="宋体" w:eastAsia="黑体" w:cs="黑体"/>
                <w:i w:val="0"/>
                <w:iCs w:val="0"/>
                <w:color w:val="000000"/>
                <w:kern w:val="0"/>
                <w:sz w:val="20"/>
                <w:szCs w:val="20"/>
                <w:u w:val="none"/>
                <w:lang w:val="en-US" w:eastAsia="zh-CN" w:bidi="ar"/>
              </w:rPr>
              <w:t>%</w:t>
            </w:r>
          </w:p>
        </w:tc>
        <w:tc>
          <w:tcPr>
            <w:tcW w:w="175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5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说明</w:t>
            </w:r>
          </w:p>
        </w:tc>
        <w:tc>
          <w:tcPr>
            <w:tcW w:w="8492" w:type="dxa"/>
            <w:gridSpan w:val="13"/>
            <w:shd w:val="clear" w:color="auto" w:fill="FFFFFF"/>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240" w:lineRule="auto"/>
              <w:jc w:val="left"/>
              <w:textAlignment w:val="auto"/>
              <w:rPr>
                <w:rFonts w:hint="default"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无</w:t>
            </w:r>
            <w:r>
              <w:rPr>
                <w:rFonts w:hint="eastAsia" w:ascii="黑体" w:hAnsi="宋体" w:eastAsia="黑体" w:cs="黑体"/>
                <w:i w:val="0"/>
                <w:iCs w:val="0"/>
                <w:color w:val="000000"/>
                <w:kern w:val="0"/>
                <w:sz w:val="13"/>
                <w:szCs w:val="13"/>
                <w:u w:val="none"/>
                <w:lang w:val="en-US" w:eastAsia="zh-CN" w:bidi="ar"/>
              </w:rPr>
              <w:tab/>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注：1．资金使用单位按项目绩效目标填报，主管部门汇总时按区域绩效目标填报。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2. 其他资金包括与</w:t>
      </w:r>
      <w:r>
        <w:rPr>
          <w:rFonts w:hint="eastAsia" w:ascii="黑体" w:hAnsi="宋体" w:eastAsia="黑体" w:cs="黑体"/>
          <w:b w:val="0"/>
          <w:bCs w:val="0"/>
          <w:i w:val="0"/>
          <w:iCs w:val="0"/>
          <w:color w:val="000000"/>
          <w:kern w:val="0"/>
          <w:sz w:val="15"/>
          <w:szCs w:val="15"/>
          <w:u w:val="none"/>
          <w:lang w:val="en-US" w:eastAsia="zh-CN" w:bidi="ar"/>
        </w:rPr>
        <w:t>省级</w:t>
      </w:r>
      <w:r>
        <w:rPr>
          <w:rFonts w:hint="default" w:ascii="黑体" w:hAnsi="宋体" w:eastAsia="黑体" w:cs="黑体"/>
          <w:b w:val="0"/>
          <w:bCs w:val="0"/>
          <w:i w:val="0"/>
          <w:iCs w:val="0"/>
          <w:color w:val="000000"/>
          <w:kern w:val="0"/>
          <w:sz w:val="15"/>
          <w:szCs w:val="15"/>
          <w:u w:val="none"/>
          <w:lang w:val="en-US" w:eastAsia="zh-CN" w:bidi="ar"/>
        </w:rPr>
        <w:t>财政资金、地方财政资金共同投入到同一项目的自有资金、社会资金，以及以前年度的结转结余资金等。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3. 全年执行数是指按照国库集中支付制度要求所形成的实际支出。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4．定量指标，地方各级主管部门对资金使用单位填写的实际完成值汇总时，绝对值直接累加计算;相对值采用区域或整体统计数据，不能采用区域或整体统计数据的，以区域或项目的资金量为权重进行加权平均计算。。</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5．定性指标，完成情况分为好，较好、一般、较差四挡，资金使用单位分别按照90%（含）-100%、80%（含）-90%、60（含）-80%、0%-60%合理填写实际完成值。主管部门汇总时，以区域或项目的资金量为权重加权平均计算完成值。   </w:t>
      </w:r>
    </w:p>
    <w:p>
      <w:pPr>
        <w:spacing w:line="536" w:lineRule="exact"/>
        <w:rPr>
          <w:sz w:val="36"/>
          <w:szCs w:val="36"/>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611"/>
    <w:multiLevelType w:val="singleLevel"/>
    <w:tmpl w:val="0F6D7611"/>
    <w:lvl w:ilvl="0" w:tentative="0">
      <w:start w:val="4"/>
      <w:numFmt w:val="chineseCounting"/>
      <w:suff w:val="nothing"/>
      <w:lvlText w:val="%1、"/>
      <w:lvlJc w:val="left"/>
      <w:rPr>
        <w:rFonts w:hint="eastAsia"/>
      </w:rPr>
    </w:lvl>
  </w:abstractNum>
  <w:abstractNum w:abstractNumId="1">
    <w:nsid w:val="2905BE04"/>
    <w:multiLevelType w:val="singleLevel"/>
    <w:tmpl w:val="2905BE04"/>
    <w:lvl w:ilvl="0" w:tentative="0">
      <w:start w:val="3"/>
      <w:numFmt w:val="chineseCounting"/>
      <w:suff w:val="nothing"/>
      <w:lvlText w:val="%1、"/>
      <w:lvlJc w:val="left"/>
      <w:rPr>
        <w:rFonts w:hint="eastAsia"/>
      </w:rPr>
    </w:lvl>
  </w:abstractNum>
  <w:abstractNum w:abstractNumId="2">
    <w:nsid w:val="736AB74C"/>
    <w:multiLevelType w:val="singleLevel"/>
    <w:tmpl w:val="736AB74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jUwMjA2MDdiMmU1MmE3YWMyMzA3YjUxYmNhYTEifQ=="/>
  </w:docVars>
  <w:rsids>
    <w:rsidRoot w:val="00072613"/>
    <w:rsid w:val="00072613"/>
    <w:rsid w:val="00553FCB"/>
    <w:rsid w:val="00834978"/>
    <w:rsid w:val="00902506"/>
    <w:rsid w:val="009C3769"/>
    <w:rsid w:val="01287090"/>
    <w:rsid w:val="05004729"/>
    <w:rsid w:val="07C853B7"/>
    <w:rsid w:val="09173EE8"/>
    <w:rsid w:val="1170063A"/>
    <w:rsid w:val="13277912"/>
    <w:rsid w:val="13D12EE6"/>
    <w:rsid w:val="14A625C4"/>
    <w:rsid w:val="25C67AB3"/>
    <w:rsid w:val="29480C68"/>
    <w:rsid w:val="30520C9F"/>
    <w:rsid w:val="34956851"/>
    <w:rsid w:val="3E390AF3"/>
    <w:rsid w:val="454F1FBC"/>
    <w:rsid w:val="46E33860"/>
    <w:rsid w:val="520408B3"/>
    <w:rsid w:val="64CA1F7B"/>
    <w:rsid w:val="7EB2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pPr>
  </w:style>
  <w:style w:type="paragraph" w:customStyle="1" w:styleId="3">
    <w:name w:val="BodyTextIndent"/>
    <w:basedOn w:val="1"/>
    <w:autoRedefine/>
    <w:qFormat/>
    <w:uiPriority w:val="0"/>
    <w:pPr>
      <w:spacing w:after="120" w:line="240" w:lineRule="auto"/>
      <w:ind w:left="420" w:leftChars="200"/>
      <w:jc w:val="both"/>
    </w:pPr>
  </w:style>
  <w:style w:type="paragraph" w:styleId="4">
    <w:name w:val="Body Text"/>
    <w:basedOn w:val="1"/>
    <w:next w:val="5"/>
    <w:autoRedefine/>
    <w:unhideWhenUsed/>
    <w:qFormat/>
    <w:uiPriority w:val="99"/>
    <w:rPr>
      <w:rFonts w:ascii="仿宋" w:hAnsi="仿宋" w:cs="宋体"/>
      <w:sz w:val="28"/>
      <w:szCs w:val="28"/>
    </w:rPr>
  </w:style>
  <w:style w:type="paragraph" w:customStyle="1" w:styleId="5">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6">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9">
    <w:name w:val="Normal (Web)"/>
    <w:basedOn w:val="1"/>
    <w:qFormat/>
    <w:uiPriority w:val="0"/>
    <w:pPr>
      <w:widowControl/>
      <w:spacing w:before="100" w:beforeAutospacing="1" w:after="100" w:afterAutospacing="1"/>
      <w:jc w:val="left"/>
    </w:pPr>
    <w:rPr>
      <w:rFonts w:ascii="宋体" w:hAnsi="宋体" w:eastAsia="微软雅黑" w:cs="宋体"/>
      <w:kern w:val="0"/>
      <w:sz w:val="24"/>
    </w:rPr>
  </w:style>
  <w:style w:type="paragraph" w:styleId="10">
    <w:name w:val="Title"/>
    <w:basedOn w:val="1"/>
    <w:next w:val="1"/>
    <w:qFormat/>
    <w:uiPriority w:val="10"/>
    <w:pPr>
      <w:spacing w:before="240" w:after="60"/>
      <w:jc w:val="left"/>
      <w:outlineLvl w:val="0"/>
    </w:pPr>
    <w:rPr>
      <w:rFonts w:ascii="Cambria" w:hAnsi="Cambria" w:eastAsia="宋体" w:cs="Times New Roman"/>
      <w:b/>
      <w:bCs/>
      <w:sz w:val="28"/>
      <w:szCs w:val="32"/>
    </w:rPr>
  </w:style>
  <w:style w:type="paragraph" w:styleId="11">
    <w:name w:val="Body Text First Indent 2"/>
    <w:basedOn w:val="1"/>
    <w:qFormat/>
    <w:uiPriority w:val="99"/>
    <w:pPr>
      <w:ind w:left="420" w:leftChars="200" w:firstLine="210"/>
    </w:pPr>
  </w:style>
  <w:style w:type="paragraph" w:customStyle="1" w:styleId="14">
    <w:name w:val="p0"/>
    <w:basedOn w:val="1"/>
    <w:qFormat/>
    <w:uiPriority w:val="0"/>
    <w:pPr>
      <w:jc w:val="both"/>
    </w:pPr>
    <w:rPr>
      <w:rFonts w:ascii="Calibri" w:hAnsi="Calibri" w:cs="Times New Roman"/>
      <w:sz w:val="21"/>
      <w:szCs w:val="21"/>
    </w:rPr>
  </w:style>
  <w:style w:type="paragraph" w:customStyle="1" w:styleId="15">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2468</Words>
  <Characters>2640</Characters>
  <Lines>3</Lines>
  <Paragraphs>1</Paragraphs>
  <TotalTime>0</TotalTime>
  <ScaleCrop>false</ScaleCrop>
  <LinksUpToDate>false</LinksUpToDate>
  <CharactersWithSpaces>2798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2023-04-07T05:05:00Z</dcterms:created>
  <dc:creator>彭承京</dc:creator>
  <cp:lastModifiedBy>233</cp:lastModifiedBy>
  <cp:lastPrinted>2023-04-10T06:24:00Z</cp:lastPrinted>
  <dcterms:modified xsi:type="dcterms:W3CDTF">2024-03-18T08:34:48Z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DB539570E61E4DE0B1633F1DFBCC4604_13</vt:lpwstr>
  </property>
</Properties>
</file>