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hAnsi="黑体" w:eastAsia="黑体" w:cs="黑体"/>
          <w:b/>
          <w:sz w:val="32"/>
          <w:szCs w:val="32"/>
        </w:rPr>
      </w:pPr>
      <w:r>
        <w:rPr>
          <w:rFonts w:hint="eastAsia" w:ascii="黑体" w:hAnsi="黑体" w:eastAsia="黑体" w:cs="黑体"/>
          <w:sz w:val="32"/>
          <w:szCs w:val="32"/>
        </w:rPr>
        <w:t>附件2：</w:t>
      </w:r>
    </w:p>
    <w:p>
      <w:pPr>
        <w:spacing w:line="536" w:lineRule="exact"/>
      </w:pPr>
    </w:p>
    <w:p>
      <w:pPr>
        <w:spacing w:line="53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南昌市水利专项资金</w:t>
      </w:r>
    </w:p>
    <w:p>
      <w:pPr>
        <w:spacing w:line="53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2023年省级</w:t>
      </w:r>
      <w:r>
        <w:rPr>
          <w:rFonts w:hint="eastAsia" w:ascii="方正小标宋简体" w:hAnsi="方正小标宋简体" w:eastAsia="方正小标宋简体" w:cs="方正小标宋简体"/>
          <w:bCs/>
          <w:sz w:val="44"/>
          <w:szCs w:val="44"/>
        </w:rPr>
        <w:t>转移支付</w:t>
      </w:r>
      <w:r>
        <w:rPr>
          <w:rFonts w:hint="eastAsia" w:ascii="方正小标宋简体" w:hAnsi="方正小标宋简体" w:eastAsia="方正小标宋简体" w:cs="方正小标宋简体"/>
          <w:bCs/>
          <w:sz w:val="44"/>
          <w:szCs w:val="44"/>
          <w:lang w:val="en-US" w:eastAsia="zh-CN"/>
        </w:rPr>
        <w:t>资金</w:t>
      </w:r>
      <w:r>
        <w:rPr>
          <w:rFonts w:hint="eastAsia" w:ascii="方正小标宋简体" w:hAnsi="方正小标宋简体" w:eastAsia="方正小标宋简体" w:cs="方正小标宋简体"/>
          <w:bCs/>
          <w:sz w:val="44"/>
          <w:szCs w:val="44"/>
        </w:rPr>
        <w:t>绩效自评报告</w:t>
      </w:r>
    </w:p>
    <w:p>
      <w:pPr>
        <w:spacing w:line="536" w:lineRule="exact"/>
        <w:ind w:firstLine="640" w:firstLineChars="200"/>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根据《关于开展2023中央和省级转移支付预算执行情况绩效工作自评的预通知》要求，我局对2023年度省级转移支付资金进行了绩效自评，现将自评情况报告如下: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水利专项资金2023年省级转移支付资金全年预算数为24028万元，全年实际到位24028万元，项目资金主要用于中型灌区节水配套改造、农业水价综合改革、河湖划界补助、山塘整治、万亩圩堤加固整治、标准化管理、生态文明村镇建设、水资源补助等项目省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2023年，经我局申请，南昌市财政局按程序下达省级转移支付资金(</w:t>
      </w:r>
      <w:r>
        <w:rPr>
          <w:rFonts w:hint="eastAsia" w:ascii="仿宋_GB2312" w:eastAsia="仿宋_GB2312"/>
          <w:sz w:val="32"/>
          <w:szCs w:val="32"/>
          <w:lang w:eastAsia="zh-CN"/>
        </w:rPr>
        <w:t>省级水利专项资金</w:t>
      </w:r>
      <w:r>
        <w:rPr>
          <w:rFonts w:hint="eastAsia" w:ascii="仿宋_GB2312" w:eastAsia="仿宋_GB2312"/>
          <w:sz w:val="32"/>
          <w:szCs w:val="32"/>
          <w:lang w:val="en-US" w:eastAsia="zh-CN"/>
        </w:rPr>
        <w:t>)24028万元</w:t>
      </w:r>
      <w:r>
        <w:rPr>
          <w:rFonts w:hint="eastAsia" w:ascii="仿宋_GB2312" w:eastAsia="仿宋_GB2312"/>
          <w:sz w:val="32"/>
          <w:szCs w:val="32"/>
          <w:lang w:eastAsia="zh-CN"/>
        </w:rPr>
        <w:t>，</w:t>
      </w:r>
      <w:r>
        <w:rPr>
          <w:rFonts w:hint="eastAsia" w:ascii="仿宋_GB2312" w:eastAsia="仿宋_GB2312"/>
          <w:sz w:val="32"/>
          <w:szCs w:val="32"/>
          <w:lang w:val="en-US" w:eastAsia="zh-CN"/>
        </w:rPr>
        <w:t>资金到位率为100%。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我局</w:t>
      </w:r>
      <w:r>
        <w:rPr>
          <w:rFonts w:hint="default" w:ascii="仿宋_GB2312" w:eastAsia="仿宋_GB2312"/>
          <w:sz w:val="32"/>
          <w:szCs w:val="32"/>
          <w:lang w:val="en-US" w:eastAsia="zh-CN"/>
        </w:rPr>
        <w:t>严格按照实施方案组织</w:t>
      </w:r>
      <w:r>
        <w:rPr>
          <w:rFonts w:hint="eastAsia" w:ascii="仿宋_GB2312" w:eastAsia="仿宋_GB2312"/>
          <w:sz w:val="32"/>
          <w:szCs w:val="32"/>
          <w:lang w:val="en-US" w:eastAsia="zh-CN"/>
        </w:rPr>
        <w:t>项目</w:t>
      </w:r>
      <w:r>
        <w:rPr>
          <w:rFonts w:hint="default" w:ascii="仿宋_GB2312" w:eastAsia="仿宋_GB2312"/>
          <w:sz w:val="32"/>
          <w:szCs w:val="32"/>
          <w:lang w:val="en-US" w:eastAsia="zh-CN"/>
        </w:rPr>
        <w:t>实施，</w:t>
      </w:r>
      <w:r>
        <w:rPr>
          <w:rFonts w:hint="eastAsia" w:ascii="仿宋_GB2312" w:eastAsia="仿宋_GB2312"/>
          <w:sz w:val="32"/>
          <w:szCs w:val="32"/>
          <w:lang w:eastAsia="zh-CN"/>
        </w:rPr>
        <w:t>省级水利专项资金</w:t>
      </w:r>
      <w:r>
        <w:rPr>
          <w:rFonts w:hint="eastAsia" w:ascii="仿宋_GB2312" w:eastAsia="仿宋_GB2312"/>
          <w:sz w:val="32"/>
          <w:szCs w:val="32"/>
          <w:lang w:val="en-US" w:eastAsia="zh-CN"/>
        </w:rPr>
        <w:t>24026.75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在2023年</w:t>
      </w:r>
      <w:r>
        <w:rPr>
          <w:rFonts w:hint="default" w:ascii="仿宋_GB2312" w:eastAsia="仿宋_GB2312"/>
          <w:sz w:val="32"/>
          <w:szCs w:val="32"/>
          <w:lang w:val="en-US" w:eastAsia="zh-CN"/>
        </w:rPr>
        <w:t>已完成支付，项目资金执行率</w:t>
      </w:r>
      <w:r>
        <w:rPr>
          <w:rFonts w:hint="eastAsia" w:ascii="仿宋_GB2312" w:eastAsia="仿宋_GB2312"/>
          <w:sz w:val="32"/>
          <w:szCs w:val="32"/>
          <w:lang w:val="en-US" w:eastAsia="zh-CN"/>
        </w:rPr>
        <w:t>为99.99</w:t>
      </w:r>
      <w:r>
        <w:rPr>
          <w:rFonts w:hint="default"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认真严格按照资金使用管理办法要求，规范和加强专项资金管理，加强绩效目标绩效监控管理，提高财政资金使用绩效，实行专人管理、专账核算、专款专用，对建设项目严格按照计划和建设进度申请拨付和使用资金，严格按照财务管理制度相关规定，坚持履行规范的程序和手续，分期拨付、单据审核、办理报账，确保项目资金使用安全有效、确保了补助资金、财政配套资金和自筹资金运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val="0"/>
          <w:bCs/>
          <w:sz w:val="32"/>
          <w:szCs w:val="32"/>
          <w:lang w:val="en-US" w:eastAsia="zh-CN"/>
        </w:rPr>
        <w:t xml:space="preserve"> （三）</w:t>
      </w: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总体来看，我局2023年</w:t>
      </w:r>
      <w:r>
        <w:rPr>
          <w:rFonts w:hint="eastAsia" w:ascii="仿宋_GB2312" w:eastAsia="仿宋_GB2312"/>
          <w:sz w:val="32"/>
          <w:szCs w:val="32"/>
          <w:lang w:eastAsia="zh-CN"/>
        </w:rPr>
        <w:t>省级水利发展</w:t>
      </w:r>
      <w:r>
        <w:rPr>
          <w:rFonts w:hint="default" w:ascii="仿宋_GB2312" w:eastAsia="仿宋_GB2312"/>
          <w:sz w:val="32"/>
          <w:szCs w:val="32"/>
          <w:lang w:val="en-US" w:eastAsia="zh-CN"/>
        </w:rPr>
        <w:t>工作</w:t>
      </w:r>
      <w:r>
        <w:rPr>
          <w:rFonts w:hint="eastAsia" w:ascii="仿宋_GB2312" w:eastAsia="仿宋_GB2312"/>
          <w:sz w:val="32"/>
          <w:szCs w:val="32"/>
          <w:lang w:val="en-US" w:eastAsia="zh-CN"/>
        </w:rPr>
        <w:t>完成较好，当年圆满完成了中型灌区节水配套改造、农业水价综合改革、河湖划界补助、山塘整治、万亩圩堤加固整治、标准化管理、生态文明村镇建设、水资源补助、2023年堤防保险等项目的年度目标，保障了人民群众生活用水平稳，为社会和谐稳定发展提供了有力支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b w:val="0"/>
          <w:bCs/>
          <w:sz w:val="32"/>
          <w:szCs w:val="32"/>
        </w:rPr>
      </w:pPr>
      <w:r>
        <w:rPr>
          <w:rFonts w:hint="eastAsia" w:ascii="楷体_GB2312" w:hAnsi="楷体_GB2312" w:eastAsia="楷体_GB2312" w:cs="楷体_GB2312"/>
          <w:b w:val="0"/>
          <w:bCs/>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完成万亩圩堤加固整治2座，年度绩效目标完成率为100%；</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完成农业水价综合改革229.62万亩，年度绩效目标完成率为100%；</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完成小型病险水库除险加固2座，年度绩效目标完成率为100%；</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完成整治山塘10座，年度绩效目标完成率为100%；</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完成幸福河湖建设1个，年度绩效目标完成率为100%；</w:t>
      </w:r>
      <w:r>
        <w:rPr>
          <w:rFonts w:hint="eastAsia" w:ascii="仿宋_GB2312" w:eastAsia="仿宋_GB2312"/>
          <w:b/>
          <w:bCs/>
          <w:sz w:val="32"/>
          <w:szCs w:val="32"/>
          <w:lang w:val="en-US" w:eastAsia="zh-CN"/>
        </w:rPr>
        <w:t>六是</w:t>
      </w:r>
      <w:r>
        <w:rPr>
          <w:rFonts w:hint="eastAsia" w:ascii="仿宋_GB2312" w:eastAsia="仿宋_GB2312"/>
          <w:sz w:val="32"/>
          <w:szCs w:val="32"/>
          <w:lang w:val="en-US" w:eastAsia="zh-CN"/>
        </w:rPr>
        <w:t>完成民办公助小型堤防1座，年度绩效目标完成率为100%；</w:t>
      </w:r>
      <w:r>
        <w:rPr>
          <w:rFonts w:hint="eastAsia" w:ascii="仿宋_GB2312" w:eastAsia="仿宋_GB2312"/>
          <w:b/>
          <w:bCs/>
          <w:sz w:val="32"/>
          <w:szCs w:val="32"/>
          <w:lang w:val="en-US" w:eastAsia="zh-CN"/>
        </w:rPr>
        <w:t>七是</w:t>
      </w:r>
      <w:r>
        <w:rPr>
          <w:rFonts w:hint="eastAsia" w:ascii="仿宋_GB2312" w:eastAsia="仿宋_GB2312"/>
          <w:b w:val="0"/>
          <w:bCs w:val="0"/>
          <w:sz w:val="32"/>
          <w:szCs w:val="32"/>
          <w:lang w:val="en-US" w:eastAsia="zh-CN"/>
        </w:rPr>
        <w:t>完成水资源补助县数</w:t>
      </w:r>
      <w:r>
        <w:rPr>
          <w:rFonts w:hint="eastAsia" w:ascii="仿宋_GB2312" w:eastAsia="仿宋_GB2312"/>
          <w:sz w:val="32"/>
          <w:szCs w:val="32"/>
          <w:lang w:val="en-US" w:eastAsia="zh-CN"/>
        </w:rPr>
        <w:t>11个，年度绩效目标完成率为100%；</w:t>
      </w:r>
      <w:r>
        <w:rPr>
          <w:rFonts w:hint="eastAsia" w:ascii="仿宋_GB2312" w:eastAsia="仿宋_GB2312"/>
          <w:b/>
          <w:bCs/>
          <w:sz w:val="32"/>
          <w:szCs w:val="32"/>
          <w:lang w:val="en-US" w:eastAsia="zh-CN"/>
        </w:rPr>
        <w:t>八是</w:t>
      </w:r>
      <w:r>
        <w:rPr>
          <w:rFonts w:hint="eastAsia" w:ascii="仿宋_GB2312" w:eastAsia="仿宋_GB2312"/>
          <w:sz w:val="32"/>
          <w:szCs w:val="32"/>
          <w:lang w:val="en-US" w:eastAsia="zh-CN"/>
        </w:rPr>
        <w:t>完成洪患村镇河流综合整治试点1个，年度绩效目标完成率为100%；</w:t>
      </w:r>
      <w:r>
        <w:rPr>
          <w:rFonts w:hint="eastAsia" w:ascii="仿宋_GB2312" w:eastAsia="仿宋_GB2312"/>
          <w:b/>
          <w:bCs/>
          <w:sz w:val="32"/>
          <w:szCs w:val="32"/>
          <w:lang w:val="en-US" w:eastAsia="zh-CN"/>
        </w:rPr>
        <w:t>九是</w:t>
      </w:r>
      <w:r>
        <w:rPr>
          <w:rFonts w:hint="eastAsia" w:ascii="仿宋_GB2312" w:eastAsia="仿宋_GB2312"/>
          <w:sz w:val="32"/>
          <w:szCs w:val="32"/>
          <w:lang w:val="en-US" w:eastAsia="zh-CN"/>
        </w:rPr>
        <w:t>完成生态文明村镇创建及幸福河湖建设2村，年度绩效目标完成率为100%；</w:t>
      </w:r>
      <w:r>
        <w:rPr>
          <w:rFonts w:hint="eastAsia" w:ascii="仿宋_GB2312" w:eastAsia="仿宋_GB2312"/>
          <w:b/>
          <w:bCs/>
          <w:sz w:val="32"/>
          <w:szCs w:val="32"/>
          <w:lang w:val="en-US" w:eastAsia="zh-CN"/>
        </w:rPr>
        <w:t>十是</w:t>
      </w:r>
      <w:r>
        <w:rPr>
          <w:rFonts w:hint="eastAsia" w:ascii="仿宋_GB2312" w:eastAsia="仿宋_GB2312"/>
          <w:sz w:val="32"/>
          <w:szCs w:val="32"/>
          <w:lang w:val="en-US" w:eastAsia="zh-CN"/>
        </w:rPr>
        <w:t>完成重点涝区排洪能力建设7个，年度绩效目标完成率为100%；</w:t>
      </w:r>
      <w:r>
        <w:rPr>
          <w:rFonts w:hint="eastAsia" w:ascii="仿宋_GB2312" w:eastAsia="仿宋_GB2312"/>
          <w:b/>
          <w:bCs/>
          <w:sz w:val="32"/>
          <w:szCs w:val="32"/>
          <w:lang w:val="en-US" w:eastAsia="zh-CN"/>
        </w:rPr>
        <w:t>十一是</w:t>
      </w:r>
      <w:r>
        <w:rPr>
          <w:rFonts w:hint="eastAsia" w:ascii="仿宋_GB2312" w:eastAsia="仿宋_GB2312"/>
          <w:sz w:val="32"/>
          <w:szCs w:val="32"/>
          <w:lang w:val="en-US" w:eastAsia="zh-CN"/>
        </w:rPr>
        <w:t>完成聘请第三方数量1家，年度绩效目标完成率为100%；</w:t>
      </w:r>
      <w:r>
        <w:rPr>
          <w:rFonts w:hint="eastAsia" w:ascii="仿宋_GB2312" w:eastAsia="仿宋_GB2312"/>
          <w:b/>
          <w:bCs/>
          <w:sz w:val="32"/>
          <w:szCs w:val="32"/>
          <w:lang w:val="en-US" w:eastAsia="zh-CN"/>
        </w:rPr>
        <w:t>十二是</w:t>
      </w:r>
      <w:r>
        <w:rPr>
          <w:rFonts w:hint="eastAsia" w:ascii="仿宋_GB2312" w:eastAsia="仿宋_GB2312"/>
          <w:sz w:val="32"/>
          <w:szCs w:val="32"/>
          <w:lang w:val="en-US" w:eastAsia="zh-CN"/>
        </w:rPr>
        <w:t>发出预警通知书20份，年度绩效目标完成率为100%；</w:t>
      </w:r>
      <w:r>
        <w:rPr>
          <w:rFonts w:hint="eastAsia" w:ascii="仿宋_GB2312" w:eastAsia="仿宋_GB2312"/>
          <w:b/>
          <w:bCs/>
          <w:sz w:val="32"/>
          <w:szCs w:val="32"/>
          <w:lang w:val="en-US" w:eastAsia="zh-CN"/>
        </w:rPr>
        <w:t>十三是</w:t>
      </w:r>
      <w:r>
        <w:rPr>
          <w:rFonts w:hint="eastAsia" w:ascii="仿宋_GB2312" w:eastAsia="仿宋_GB2312"/>
          <w:sz w:val="32"/>
          <w:szCs w:val="32"/>
          <w:lang w:val="en-US" w:eastAsia="zh-CN"/>
        </w:rPr>
        <w:t>签订计划用水责任书数量100份，年度目标完成率为100%；</w:t>
      </w:r>
      <w:r>
        <w:rPr>
          <w:rFonts w:hint="eastAsia" w:ascii="仿宋_GB2312" w:eastAsia="仿宋_GB2312"/>
          <w:b/>
          <w:bCs/>
          <w:sz w:val="32"/>
          <w:szCs w:val="32"/>
          <w:lang w:val="en-US" w:eastAsia="zh-CN"/>
        </w:rPr>
        <w:t>十四是</w:t>
      </w:r>
      <w:r>
        <w:rPr>
          <w:rFonts w:hint="eastAsia" w:ascii="仿宋_GB2312" w:eastAsia="仿宋_GB2312"/>
          <w:sz w:val="32"/>
          <w:szCs w:val="32"/>
          <w:lang w:val="en-US" w:eastAsia="zh-CN"/>
        </w:rPr>
        <w:t>完成调查、审批用水单位户数20户，年度绩效目标完成率为100%；</w:t>
      </w:r>
      <w:r>
        <w:rPr>
          <w:rFonts w:hint="eastAsia" w:ascii="仿宋_GB2312" w:eastAsia="仿宋_GB2312"/>
          <w:b/>
          <w:bCs/>
          <w:sz w:val="32"/>
          <w:szCs w:val="32"/>
          <w:lang w:val="en-US" w:eastAsia="zh-CN"/>
        </w:rPr>
        <w:t>十五是</w:t>
      </w:r>
      <w:r>
        <w:rPr>
          <w:rFonts w:hint="eastAsia" w:ascii="仿宋_GB2312" w:eastAsia="仿宋_GB2312"/>
          <w:sz w:val="32"/>
          <w:szCs w:val="32"/>
          <w:lang w:val="en-US" w:eastAsia="zh-CN"/>
        </w:rPr>
        <w:t>进行节水监督检查工作40次，年度目标完成率为100%；</w:t>
      </w:r>
      <w:r>
        <w:rPr>
          <w:rFonts w:hint="eastAsia" w:ascii="仿宋_GB2312" w:eastAsia="仿宋_GB2312"/>
          <w:b/>
          <w:bCs/>
          <w:sz w:val="32"/>
          <w:szCs w:val="32"/>
          <w:lang w:val="en-US" w:eastAsia="zh-CN"/>
        </w:rPr>
        <w:t>十六是</w:t>
      </w:r>
      <w:r>
        <w:rPr>
          <w:rFonts w:hint="eastAsia" w:ascii="仿宋_GB2312" w:eastAsia="仿宋_GB2312"/>
          <w:sz w:val="32"/>
          <w:szCs w:val="32"/>
          <w:lang w:val="en-US" w:eastAsia="zh-CN"/>
        </w:rPr>
        <w:t>完成堤防标准化管理建设163.05公里，年度绩效目标完成率为100%；</w:t>
      </w:r>
      <w:r>
        <w:rPr>
          <w:rFonts w:hint="eastAsia" w:ascii="仿宋_GB2312" w:eastAsia="仿宋_GB2312"/>
          <w:b/>
          <w:bCs/>
          <w:sz w:val="32"/>
          <w:szCs w:val="32"/>
          <w:lang w:val="en-US" w:eastAsia="zh-CN"/>
        </w:rPr>
        <w:t>十七是</w:t>
      </w:r>
      <w:r>
        <w:rPr>
          <w:rFonts w:hint="eastAsia" w:ascii="仿宋_GB2312" w:eastAsia="仿宋_GB2312"/>
          <w:sz w:val="32"/>
          <w:szCs w:val="32"/>
          <w:lang w:val="en-US" w:eastAsia="zh-CN"/>
        </w:rPr>
        <w:t>完成泵站标准化管理建设3座，年度绩效目标完成率为100%；</w:t>
      </w:r>
      <w:r>
        <w:rPr>
          <w:rFonts w:hint="eastAsia" w:ascii="仿宋_GB2312" w:eastAsia="仿宋_GB2312"/>
          <w:b/>
          <w:bCs/>
          <w:sz w:val="32"/>
          <w:szCs w:val="32"/>
          <w:lang w:val="en-US" w:eastAsia="zh-CN"/>
        </w:rPr>
        <w:t>十八是</w:t>
      </w:r>
      <w:r>
        <w:rPr>
          <w:rFonts w:hint="eastAsia" w:ascii="仿宋_GB2312" w:eastAsia="仿宋_GB2312"/>
          <w:sz w:val="32"/>
          <w:szCs w:val="32"/>
          <w:lang w:val="en-US" w:eastAsia="zh-CN"/>
        </w:rPr>
        <w:t>完成省级水利科技推广1个，年度绩效目标完成率为100%；</w:t>
      </w:r>
      <w:r>
        <w:rPr>
          <w:rFonts w:hint="eastAsia" w:ascii="仿宋_GB2312" w:eastAsia="仿宋_GB2312"/>
          <w:b/>
          <w:bCs/>
          <w:sz w:val="32"/>
          <w:szCs w:val="32"/>
          <w:lang w:val="en-US" w:eastAsia="zh-CN"/>
        </w:rPr>
        <w:t>十九是</w:t>
      </w:r>
      <w:r>
        <w:rPr>
          <w:rFonts w:hint="eastAsia" w:ascii="仿宋_GB2312" w:eastAsia="仿宋_GB2312"/>
          <w:sz w:val="32"/>
          <w:szCs w:val="32"/>
          <w:lang w:val="en-US" w:eastAsia="zh-CN"/>
        </w:rPr>
        <w:t>完成支持重点区域排涝县区5个，全年绩效目标达标率为100%。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经评价，2023年度省级水利专项资金的产出数量、产出质量、产出时效等产出指标全部达标。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全市水利部门坚决贯彻落实习近平总书记治水重要论述精神，深入践行习近平总书记“节水优先、空间均衡、系统治理、两手发力”治水思路，认真学习贯彻党的二十大精神，扎实落实强省会战略和水利高质量发展战略部署，加快重大水利项目建设，抓好水旱灾害防御、水生态文明建设和水利建设、管理、改革等各项工作，推动新阶段水利高质量发展迈出坚实步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偏离绩效目标的原因和下一步改进措施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无。</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切实加强绩效评价结果的分析和应用，将评价结果作为进一步完善和改进预算绩效管理的重要依据，并将本次绩效评价结果作为下一年度预算申报的重要参考依据。同时进一步加强预算资金管理，保障资金使用安全，提高资金使用效率，完善内部监督和控制制度，保证资金的合法性、安全性以及会计资料的真实性和完整性，确保部门履职履责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我局将在市财政局审核通过后公开2023年度省级转移支付资金绩效自评报告结果，主动接受社会监督。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无。</w:t>
      </w:r>
    </w:p>
    <w:p>
      <w:pPr>
        <w:pStyle w:val="4"/>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5"/>
        <w:keepNext w:val="0"/>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auto"/>
          <w:sz w:val="32"/>
          <w:szCs w:val="32"/>
          <w:highlight w:val="none"/>
          <w:lang w:val="en-US" w:eastAsia="zh-CN"/>
        </w:rPr>
        <w:t>南昌市水利局</w:t>
      </w:r>
      <w:r>
        <w:rPr>
          <w:rFonts w:hint="eastAsia" w:ascii="仿宋" w:hAnsi="仿宋" w:eastAsia="仿宋" w:cs="仿宋"/>
          <w:bCs/>
          <w:color w:val="FF0000"/>
          <w:sz w:val="32"/>
          <w:szCs w:val="32"/>
        </w:rPr>
        <w:t xml:space="preserve">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bCs/>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bCs/>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bCs/>
          <w:sz w:val="32"/>
          <w:szCs w:val="32"/>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bCs/>
          <w:sz w:val="32"/>
          <w:szCs w:val="32"/>
        </w:rPr>
      </w:pPr>
    </w:p>
    <w:p>
      <w:pPr>
        <w:spacing w:line="536" w:lineRule="exact"/>
        <w:rPr>
          <w:rFonts w:hint="eastAsia" w:ascii="黑体" w:hAnsi="黑体" w:eastAsia="黑体" w:cs="黑体"/>
          <w:bCs/>
          <w:color w:val="000000"/>
          <w:spacing w:val="40"/>
          <w:sz w:val="36"/>
          <w:szCs w:val="36"/>
          <w:lang w:val="en-US" w:eastAsia="zh-CN"/>
        </w:rPr>
      </w:pPr>
      <w:r>
        <w:rPr>
          <w:rFonts w:hint="eastAsia" w:ascii="黑体" w:hAnsi="黑体" w:eastAsia="黑体" w:cs="黑体"/>
          <w:bCs/>
          <w:sz w:val="32"/>
          <w:szCs w:val="32"/>
        </w:rPr>
        <w:t>六、附件</w:t>
      </w:r>
    </w:p>
    <w:p>
      <w:pPr>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pacing w:val="40"/>
          <w:sz w:val="36"/>
          <w:szCs w:val="36"/>
          <w:lang w:eastAsia="zh-CN"/>
        </w:rPr>
        <w:t>省级</w:t>
      </w:r>
      <w:r>
        <w:rPr>
          <w:rFonts w:hint="eastAsia" w:ascii="黑体" w:hAnsi="黑体" w:eastAsia="黑体" w:cs="黑体"/>
          <w:bCs/>
          <w:color w:val="000000"/>
          <w:spacing w:val="40"/>
          <w:sz w:val="36"/>
          <w:szCs w:val="36"/>
        </w:rPr>
        <w:t xml:space="preserve">转移支付区域（项目）绩效目标自评表 </w:t>
      </w:r>
    </w:p>
    <w:tbl>
      <w:tblPr>
        <w:tblStyle w:val="1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43"/>
        <w:gridCol w:w="692"/>
        <w:gridCol w:w="638"/>
        <w:gridCol w:w="320"/>
        <w:gridCol w:w="2017"/>
        <w:gridCol w:w="1037"/>
        <w:gridCol w:w="400"/>
        <w:gridCol w:w="831"/>
        <w:gridCol w:w="42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2847" w:type="dxa"/>
            <w:gridSpan w:val="5"/>
            <w:shd w:val="clear" w:color="auto" w:fill="FFFFFF"/>
            <w:noWrap w:val="0"/>
            <w:vAlign w:val="center"/>
          </w:tcPr>
          <w:p>
            <w:pPr>
              <w:keepNext w:val="0"/>
              <w:keepLines w:val="0"/>
              <w:widowControl/>
              <w:suppressLineNumbers w:val="0"/>
              <w:spacing w:line="36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转移支付（项目）名称</w:t>
            </w:r>
          </w:p>
        </w:tc>
        <w:tc>
          <w:tcPr>
            <w:tcW w:w="6199"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lang w:eastAsia="zh-CN"/>
              </w:rPr>
            </w:pPr>
            <w:r>
              <w:rPr>
                <w:rFonts w:hint="eastAsia" w:ascii="黑体" w:hAnsi="黑体" w:eastAsia="黑体" w:cs="黑体"/>
                <w:bCs/>
                <w:color w:val="000000"/>
                <w:kern w:val="0"/>
                <w:sz w:val="18"/>
                <w:szCs w:val="18"/>
                <w:highlight w:val="none"/>
                <w:lang w:eastAsia="zh-CN"/>
              </w:rPr>
              <w:t>省级水利专项资金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847" w:type="dxa"/>
            <w:gridSpan w:val="5"/>
            <w:shd w:val="clear" w:color="auto" w:fill="FFFFFF"/>
            <w:noWrap w:val="0"/>
            <w:vAlign w:val="center"/>
          </w:tcPr>
          <w:p>
            <w:pPr>
              <w:keepNext w:val="0"/>
              <w:keepLines w:val="0"/>
              <w:widowControl/>
              <w:suppressLineNumbers w:val="0"/>
              <w:spacing w:line="24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省级主管部门</w:t>
            </w:r>
          </w:p>
        </w:tc>
        <w:tc>
          <w:tcPr>
            <w:tcW w:w="6199"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889"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地方主管部门</w:t>
            </w:r>
          </w:p>
        </w:tc>
        <w:tc>
          <w:tcPr>
            <w:tcW w:w="297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资金使用单位</w:t>
            </w:r>
          </w:p>
        </w:tc>
        <w:tc>
          <w:tcPr>
            <w:tcW w:w="3145"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资金投入情况</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（万元）</w:t>
            </w: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全年预算数（A）</w:t>
            </w:r>
          </w:p>
        </w:tc>
        <w:tc>
          <w:tcPr>
            <w:tcW w:w="12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全年执行数（B）</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预算执行率（B/A*100%)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年度资金总额：</w:t>
            </w: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24028.00</w:t>
            </w:r>
          </w:p>
        </w:tc>
        <w:tc>
          <w:tcPr>
            <w:tcW w:w="12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24026.75</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其中：省级财政资金</w:t>
            </w: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24028.00</w:t>
            </w:r>
          </w:p>
        </w:tc>
        <w:tc>
          <w:tcPr>
            <w:tcW w:w="12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24026.75</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地方资金</w:t>
            </w: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其他资金</w:t>
            </w:r>
          </w:p>
        </w:tc>
        <w:tc>
          <w:tcPr>
            <w:tcW w:w="10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3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资金管理情况</w:t>
            </w: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情况说明</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分配科学性</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按照转移支付管理制度以及资金管理办法规定的范围对省级水利专项资金标准进行分配资金。</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下达及时性</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严格按照规定时间及时下达完成。</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拨付合规性</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未出现违规将资金从国库转入财政专户或支付到预算单位实有资金账户等问题。</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使用规范性</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对加固整治万亩圩堤、整治山塘、河湖划界补助等处理资金使用率100%。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执行准确性</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执行数100%，没有偏离预算数。</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预算绩效管理情况</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根据绩效管理办法，我局严格按照要求对所有转移支付资金进行入库，监控，及自评，实现资金绩效管理过程全覆盖。</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5"/>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01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支出责任履行情况</w:t>
            </w:r>
          </w:p>
        </w:tc>
        <w:tc>
          <w:tcPr>
            <w:tcW w:w="226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在资金拨付、监管等方面，我局均严格按照项目资金管理办法，严格执行财务管理制度，财务处理及时、会计核算规范。</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1197"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总体目标完成情况</w:t>
            </w:r>
          </w:p>
        </w:tc>
        <w:tc>
          <w:tcPr>
            <w:tcW w:w="36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w:t>
            </w:r>
          </w:p>
        </w:tc>
        <w:tc>
          <w:tcPr>
            <w:tcW w:w="418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1197"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6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确保我市省级水利专项资金及时发放到位，保障人民群众生活用水安全及水生态资源安全，为社会和谐稳定发展提供有力支持。</w:t>
            </w:r>
          </w:p>
        </w:tc>
        <w:tc>
          <w:tcPr>
            <w:tcW w:w="418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我市省级水利专项资金已及时发放到位，保障了人民群众生活用水安全及水生态资源安全，为社会和谐稳定发展提供有力支持。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55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绩效指标</w:t>
            </w:r>
          </w:p>
        </w:tc>
        <w:tc>
          <w:tcPr>
            <w:tcW w:w="6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一级指标</w:t>
            </w:r>
          </w:p>
        </w:tc>
        <w:tc>
          <w:tcPr>
            <w:tcW w:w="133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二级指标</w:t>
            </w:r>
          </w:p>
        </w:tc>
        <w:tc>
          <w:tcPr>
            <w:tcW w:w="2337"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三级指标</w:t>
            </w:r>
          </w:p>
        </w:tc>
        <w:tc>
          <w:tcPr>
            <w:tcW w:w="1437"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指标值</w:t>
            </w:r>
          </w:p>
        </w:tc>
        <w:tc>
          <w:tcPr>
            <w:tcW w:w="125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完成值</w:t>
            </w:r>
          </w:p>
        </w:tc>
        <w:tc>
          <w:tcPr>
            <w:tcW w:w="149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未完成原因和</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万亩圩堤加固整治</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≥2座</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2座</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农业水价综合改革</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229.62万亩</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229.62万亩</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小型病险水库除险加固</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2座</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2座</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山塘整治</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54座</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54座</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幸福河湖建设</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民办公助小型堤防</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≥1座</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1座</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水资源补助县数</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洪患村镇河流综合整治试点</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生态文明村镇创建及幸福河湖建设</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2村</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2村</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重点涝区排洪能力建设</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聘请第三方数量</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1家</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1家</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发出预警通知书</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20份</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20份</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签订计划用水责任书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100份</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100份</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调查、审批用水单位户数</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20户</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20户</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进行节水监督检查工作</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40次</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40次</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堤防标准化管理建设</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163.05公里</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163.05公里</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泵站标准化管理建设</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3座</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3座</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省级水利科技推广</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支持重点区域排涝县区数量</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5个</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5个</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质量指标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全年工作开展达标率</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项目验收合格率</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时效指标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项目完成及时率</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成本控制率</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99.99%</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效</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经济效益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社会效益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提升水利工作效益</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加强节水行业管理力度</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推动区域协调发展，保障国家水安全，促进经济稳定增长</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保障人民生命财产安全</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生态效益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改善治涝面积</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可持续影响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服务对象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满意度指标</w:t>
            </w: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服务对象满意度</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3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受益群众满意度</w:t>
            </w:r>
          </w:p>
        </w:tc>
        <w:tc>
          <w:tcPr>
            <w:tcW w:w="143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25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49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5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说明</w:t>
            </w:r>
          </w:p>
        </w:tc>
        <w:tc>
          <w:tcPr>
            <w:tcW w:w="8492" w:type="dxa"/>
            <w:gridSpan w:val="10"/>
            <w:shd w:val="clear" w:color="auto" w:fill="FFFFFF"/>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240" w:lineRule="auto"/>
              <w:jc w:val="left"/>
              <w:textAlignment w:val="auto"/>
              <w:rPr>
                <w:rFonts w:hint="default"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无</w:t>
            </w:r>
            <w:r>
              <w:rPr>
                <w:rFonts w:hint="eastAsia" w:ascii="黑体" w:hAnsi="宋体" w:eastAsia="黑体" w:cs="黑体"/>
                <w:i w:val="0"/>
                <w:iCs w:val="0"/>
                <w:color w:val="000000"/>
                <w:kern w:val="0"/>
                <w:sz w:val="13"/>
                <w:szCs w:val="13"/>
                <w:u w:val="none"/>
                <w:lang w:val="en-US" w:eastAsia="zh-CN" w:bidi="ar"/>
              </w:rPr>
              <w:tab/>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注：1．资金使用单位按项目绩效目标填报，主管部门汇总时按区域绩效目标填报。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2. 其他资金包括与</w:t>
      </w:r>
      <w:r>
        <w:rPr>
          <w:rFonts w:hint="eastAsia" w:ascii="黑体" w:hAnsi="宋体" w:eastAsia="黑体" w:cs="黑体"/>
          <w:b w:val="0"/>
          <w:bCs w:val="0"/>
          <w:i w:val="0"/>
          <w:iCs w:val="0"/>
          <w:color w:val="000000"/>
          <w:kern w:val="0"/>
          <w:sz w:val="15"/>
          <w:szCs w:val="15"/>
          <w:u w:val="none"/>
          <w:lang w:val="en-US" w:eastAsia="zh-CN" w:bidi="ar"/>
        </w:rPr>
        <w:t>省级</w:t>
      </w:r>
      <w:r>
        <w:rPr>
          <w:rFonts w:hint="default" w:ascii="黑体" w:hAnsi="宋体" w:eastAsia="黑体" w:cs="黑体"/>
          <w:b w:val="0"/>
          <w:bCs w:val="0"/>
          <w:i w:val="0"/>
          <w:iCs w:val="0"/>
          <w:color w:val="000000"/>
          <w:kern w:val="0"/>
          <w:sz w:val="15"/>
          <w:szCs w:val="15"/>
          <w:u w:val="none"/>
          <w:lang w:val="en-US" w:eastAsia="zh-CN" w:bidi="ar"/>
        </w:rPr>
        <w:t>财政资金、地方财政资金共同投入到同一项目的自有资金、社会资金，以及以前年度的结转结余资金等。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3. 全年执行数是指按照国库集中支付制度要求所形成的实际支出。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4．定量指标，地方各级主管部门对资金使用单位填写的实际完成值汇总时，绝对值直接累加计算;相对值采用区域或整体统计数据，不能采用区域或整体统计数据的，以区域或项目的资金量为权重进行加权平均计算。。</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5．定性指标，完成情况分为好，较好、一般、较差四挡，资金使用单位分别按照90%（含）-100%、80%（含）-90%、60（含）-80%、0%-60%合理填写实际完成值。主管部门汇总时，以区域或项目的资金量为权重加权平均计算完成值。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611"/>
    <w:multiLevelType w:val="singleLevel"/>
    <w:tmpl w:val="0F6D7611"/>
    <w:lvl w:ilvl="0" w:tentative="0">
      <w:start w:val="4"/>
      <w:numFmt w:val="chineseCounting"/>
      <w:suff w:val="nothing"/>
      <w:lvlText w:val="%1、"/>
      <w:lvlJc w:val="left"/>
      <w:rPr>
        <w:rFonts w:hint="eastAsia"/>
      </w:rPr>
    </w:lvl>
  </w:abstractNum>
  <w:abstractNum w:abstractNumId="1">
    <w:nsid w:val="2905BE04"/>
    <w:multiLevelType w:val="singleLevel"/>
    <w:tmpl w:val="2905BE0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jUwMjA2MDdiMmU1MmE3YWMyMzA3YjUxYmNhYTEifQ=="/>
  </w:docVars>
  <w:rsids>
    <w:rsidRoot w:val="00072613"/>
    <w:rsid w:val="00072613"/>
    <w:rsid w:val="00553FCB"/>
    <w:rsid w:val="00834978"/>
    <w:rsid w:val="00902506"/>
    <w:rsid w:val="009C3769"/>
    <w:rsid w:val="01287090"/>
    <w:rsid w:val="07C853B7"/>
    <w:rsid w:val="09173EE8"/>
    <w:rsid w:val="09EB27A9"/>
    <w:rsid w:val="129D610A"/>
    <w:rsid w:val="13277912"/>
    <w:rsid w:val="13D12EE6"/>
    <w:rsid w:val="14A625C4"/>
    <w:rsid w:val="1B270769"/>
    <w:rsid w:val="1EF61A53"/>
    <w:rsid w:val="1FDD36A8"/>
    <w:rsid w:val="246D0A09"/>
    <w:rsid w:val="254F3EFC"/>
    <w:rsid w:val="25C67AB3"/>
    <w:rsid w:val="29480C68"/>
    <w:rsid w:val="29721810"/>
    <w:rsid w:val="2C8E25F2"/>
    <w:rsid w:val="30520C9F"/>
    <w:rsid w:val="34956851"/>
    <w:rsid w:val="394D5E0F"/>
    <w:rsid w:val="3E390AF3"/>
    <w:rsid w:val="5E6C2469"/>
    <w:rsid w:val="60F20D3F"/>
    <w:rsid w:val="632C102B"/>
    <w:rsid w:val="67E36617"/>
    <w:rsid w:val="69597C46"/>
    <w:rsid w:val="7A97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pPr>
  </w:style>
  <w:style w:type="paragraph" w:customStyle="1" w:styleId="3">
    <w:name w:val="BodyTextIndent"/>
    <w:basedOn w:val="1"/>
    <w:qFormat/>
    <w:uiPriority w:val="0"/>
    <w:pPr>
      <w:spacing w:after="120" w:line="240" w:lineRule="auto"/>
      <w:ind w:left="420" w:leftChars="200"/>
      <w:jc w:val="both"/>
    </w:pPr>
  </w:style>
  <w:style w:type="paragraph" w:styleId="4">
    <w:name w:val="Body Text"/>
    <w:basedOn w:val="1"/>
    <w:next w:val="5"/>
    <w:autoRedefine/>
    <w:unhideWhenUsed/>
    <w:qFormat/>
    <w:uiPriority w:val="99"/>
    <w:rPr>
      <w:rFonts w:ascii="仿宋" w:hAnsi="仿宋" w:cs="宋体"/>
      <w:sz w:val="28"/>
      <w:szCs w:val="28"/>
    </w:rPr>
  </w:style>
  <w:style w:type="paragraph" w:customStyle="1" w:styleId="5">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6">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9">
    <w:name w:val="Normal (Web)"/>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styleId="10">
    <w:name w:val="Title"/>
    <w:basedOn w:val="1"/>
    <w:next w:val="1"/>
    <w:autoRedefine/>
    <w:qFormat/>
    <w:uiPriority w:val="10"/>
    <w:pPr>
      <w:spacing w:before="240" w:after="60"/>
      <w:jc w:val="left"/>
      <w:outlineLvl w:val="0"/>
    </w:pPr>
    <w:rPr>
      <w:rFonts w:ascii="Cambria" w:hAnsi="Cambria" w:eastAsia="宋体" w:cs="Times New Roman"/>
      <w:b/>
      <w:bCs/>
      <w:sz w:val="28"/>
      <w:szCs w:val="32"/>
    </w:rPr>
  </w:style>
  <w:style w:type="paragraph" w:styleId="11">
    <w:name w:val="Body Text First Indent 2"/>
    <w:basedOn w:val="1"/>
    <w:autoRedefine/>
    <w:qFormat/>
    <w:uiPriority w:val="99"/>
    <w:pPr>
      <w:ind w:left="420" w:leftChars="200" w:firstLine="210"/>
    </w:pPr>
  </w:style>
  <w:style w:type="paragraph" w:customStyle="1" w:styleId="14">
    <w:name w:val="p0"/>
    <w:basedOn w:val="1"/>
    <w:autoRedefine/>
    <w:qFormat/>
    <w:uiPriority w:val="0"/>
    <w:pPr>
      <w:jc w:val="both"/>
    </w:pPr>
    <w:rPr>
      <w:rFonts w:ascii="Calibri" w:hAnsi="Calibri" w:cs="Times New Roman"/>
      <w:sz w:val="21"/>
      <w:szCs w:val="21"/>
    </w:rPr>
  </w:style>
  <w:style w:type="paragraph" w:customStyle="1" w:styleId="15">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页眉 Char"/>
    <w:basedOn w:val="13"/>
    <w:link w:val="7"/>
    <w:autoRedefine/>
    <w:semiHidden/>
    <w:qFormat/>
    <w:uiPriority w:val="99"/>
    <w:rPr>
      <w:sz w:val="18"/>
      <w:szCs w:val="18"/>
    </w:rPr>
  </w:style>
  <w:style w:type="character" w:customStyle="1" w:styleId="17">
    <w:name w:val="页脚 Char"/>
    <w:basedOn w:val="13"/>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2554</Words>
  <Characters>2804</Characters>
  <Lines>3</Lines>
  <Paragraphs>1</Paragraphs>
  <TotalTime>12</TotalTime>
  <ScaleCrop>false</ScaleCrop>
  <LinksUpToDate>false</LinksUpToDate>
  <CharactersWithSpaces>2880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2023-04-07T05:05:00Z</dcterms:created>
  <dc:creator>彭承京</dc:creator>
  <cp:lastModifiedBy>233</cp:lastModifiedBy>
  <cp:lastPrinted>2023-04-10T06:24:00Z</cp:lastPrinted>
  <dcterms:modified xsi:type="dcterms:W3CDTF">2024-03-18T07:59:04Z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0C9317051DD14D62B4CA4642B97265F3_13</vt:lpwstr>
  </property>
</Properties>
</file>